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0A24DB"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 xml:space="preserve">Title: </w:t>
      </w:r>
      <w:r>
        <w:rPr>
          <w:rFonts w:ascii="Times New Roman" w:eastAsia="Times New Roman" w:hAnsi="Times New Roman" w:cs="Times New Roman"/>
          <w:b/>
        </w:rPr>
        <w:t>Biodiversity conservation in an uncertain world</w:t>
      </w:r>
    </w:p>
    <w:p w14:paraId="7134A3F9" w14:textId="77777777" w:rsidR="00355FC1" w:rsidRDefault="00355FC1">
      <w:pPr>
        <w:spacing w:line="480" w:lineRule="auto"/>
        <w:rPr>
          <w:rFonts w:ascii="Times New Roman" w:eastAsia="Times New Roman" w:hAnsi="Times New Roman" w:cs="Times New Roman"/>
        </w:rPr>
      </w:pPr>
    </w:p>
    <w:p w14:paraId="0B836D10"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 xml:space="preserve">Authors: Richard Schuster </w:t>
      </w:r>
      <w:proofErr w:type="gramStart"/>
      <w:r>
        <w:rPr>
          <w:rFonts w:ascii="Times New Roman" w:eastAsia="Times New Roman" w:hAnsi="Times New Roman" w:cs="Times New Roman"/>
          <w:vertAlign w:val="superscript"/>
        </w:rPr>
        <w:t>a,b</w:t>
      </w:r>
      <w:proofErr w:type="gramEnd"/>
      <w:r>
        <w:rPr>
          <w:rFonts w:ascii="Times New Roman" w:eastAsia="Times New Roman" w:hAnsi="Times New Roman" w:cs="Times New Roman"/>
          <w:vertAlign w:val="superscript"/>
        </w:rPr>
        <w:t>,*</w:t>
      </w:r>
      <w:r>
        <w:rPr>
          <w:rFonts w:ascii="Times New Roman" w:eastAsia="Times New Roman" w:hAnsi="Times New Roman" w:cs="Times New Roman"/>
        </w:rPr>
        <w:t>, Rachel Buxton</w:t>
      </w:r>
      <w:r>
        <w:rPr>
          <w:rFonts w:ascii="Times New Roman" w:eastAsia="Times New Roman" w:hAnsi="Times New Roman" w:cs="Times New Roman"/>
          <w:vertAlign w:val="superscript"/>
        </w:rPr>
        <w:t>a</w:t>
      </w:r>
      <w:r>
        <w:rPr>
          <w:rFonts w:ascii="Times New Roman" w:eastAsia="Times New Roman" w:hAnsi="Times New Roman" w:cs="Times New Roman"/>
        </w:rPr>
        <w:t>, Jeffrey O. Hanson</w:t>
      </w:r>
      <w:r>
        <w:rPr>
          <w:rFonts w:ascii="Times New Roman" w:eastAsia="Times New Roman" w:hAnsi="Times New Roman" w:cs="Times New Roman"/>
          <w:vertAlign w:val="superscript"/>
        </w:rPr>
        <w:t>a</w:t>
      </w:r>
      <w:r>
        <w:rPr>
          <w:rFonts w:ascii="Times New Roman" w:eastAsia="Times New Roman" w:hAnsi="Times New Roman" w:cs="Times New Roman"/>
        </w:rPr>
        <w:t>, Allison D. Binley</w:t>
      </w:r>
      <w:r>
        <w:rPr>
          <w:rFonts w:ascii="Times New Roman" w:eastAsia="Times New Roman" w:hAnsi="Times New Roman" w:cs="Times New Roman"/>
          <w:vertAlign w:val="superscript"/>
        </w:rPr>
        <w:t>a</w:t>
      </w:r>
      <w:r>
        <w:rPr>
          <w:rFonts w:ascii="Times New Roman" w:eastAsia="Times New Roman" w:hAnsi="Times New Roman" w:cs="Times New Roman"/>
        </w:rPr>
        <w:t>, Jeremy Pittman</w:t>
      </w:r>
      <w:r>
        <w:rPr>
          <w:rFonts w:ascii="Times New Roman" w:eastAsia="Times New Roman" w:hAnsi="Times New Roman" w:cs="Times New Roman"/>
          <w:vertAlign w:val="superscript"/>
        </w:rPr>
        <w:t>c</w:t>
      </w:r>
      <w:r>
        <w:rPr>
          <w:rFonts w:ascii="Times New Roman" w:eastAsia="Times New Roman" w:hAnsi="Times New Roman" w:cs="Times New Roman"/>
        </w:rPr>
        <w:t>, Vivitskaia Tulloch</w:t>
      </w:r>
      <w:r>
        <w:rPr>
          <w:rFonts w:ascii="Times New Roman" w:eastAsia="Times New Roman" w:hAnsi="Times New Roman" w:cs="Times New Roman"/>
          <w:vertAlign w:val="superscript"/>
        </w:rPr>
        <w:t>d</w:t>
      </w:r>
      <w:r>
        <w:rPr>
          <w:rFonts w:ascii="Times New Roman" w:eastAsia="Times New Roman" w:hAnsi="Times New Roman" w:cs="Times New Roman"/>
        </w:rPr>
        <w:t>, Frank A. La Sorte</w:t>
      </w:r>
      <w:r>
        <w:rPr>
          <w:rFonts w:ascii="Times New Roman" w:eastAsia="Times New Roman" w:hAnsi="Times New Roman" w:cs="Times New Roman"/>
          <w:vertAlign w:val="superscript"/>
        </w:rPr>
        <w:t>e</w:t>
      </w:r>
      <w:r>
        <w:rPr>
          <w:rFonts w:ascii="Times New Roman" w:eastAsia="Times New Roman" w:hAnsi="Times New Roman" w:cs="Times New Roman"/>
        </w:rPr>
        <w:t>, Peter H. Verburg</w:t>
      </w:r>
      <w:r>
        <w:rPr>
          <w:rFonts w:ascii="Times New Roman" w:eastAsia="Times New Roman" w:hAnsi="Times New Roman" w:cs="Times New Roman"/>
          <w:vertAlign w:val="superscript"/>
        </w:rPr>
        <w:t>f</w:t>
      </w:r>
      <w:r>
        <w:rPr>
          <w:rFonts w:ascii="Times New Roman" w:eastAsia="Times New Roman" w:hAnsi="Times New Roman" w:cs="Times New Roman"/>
        </w:rPr>
        <w:t>, Amanda D. Rodewald</w:t>
      </w:r>
      <w:r>
        <w:rPr>
          <w:rFonts w:ascii="Times New Roman" w:eastAsia="Times New Roman" w:hAnsi="Times New Roman" w:cs="Times New Roman"/>
          <w:vertAlign w:val="superscript"/>
        </w:rPr>
        <w:t>e,g</w:t>
      </w:r>
      <w:r>
        <w:rPr>
          <w:rFonts w:ascii="Times New Roman" w:eastAsia="Times New Roman" w:hAnsi="Times New Roman" w:cs="Times New Roman"/>
        </w:rPr>
        <w:t>, Scott Wilson</w:t>
      </w:r>
      <w:r>
        <w:rPr>
          <w:rFonts w:ascii="Times New Roman" w:eastAsia="Times New Roman" w:hAnsi="Times New Roman" w:cs="Times New Roman"/>
          <w:vertAlign w:val="superscript"/>
        </w:rPr>
        <w:t>a,h</w:t>
      </w:r>
      <w:r>
        <w:rPr>
          <w:rFonts w:ascii="Times New Roman" w:eastAsia="Times New Roman" w:hAnsi="Times New Roman" w:cs="Times New Roman"/>
        </w:rPr>
        <w:t>, Hugh P. Possingham</w:t>
      </w:r>
      <w:r>
        <w:rPr>
          <w:rFonts w:ascii="Times New Roman" w:eastAsia="Times New Roman" w:hAnsi="Times New Roman" w:cs="Times New Roman"/>
          <w:vertAlign w:val="superscript"/>
        </w:rPr>
        <w:t>i</w:t>
      </w:r>
      <w:r>
        <w:rPr>
          <w:rFonts w:ascii="Times New Roman" w:eastAsia="Times New Roman" w:hAnsi="Times New Roman" w:cs="Times New Roman"/>
        </w:rPr>
        <w:t>, Joseph R. Bennett</w:t>
      </w:r>
      <w:r>
        <w:rPr>
          <w:rFonts w:ascii="Times New Roman" w:eastAsia="Times New Roman" w:hAnsi="Times New Roman" w:cs="Times New Roman"/>
          <w:vertAlign w:val="superscript"/>
        </w:rPr>
        <w:t>a</w:t>
      </w:r>
    </w:p>
    <w:p w14:paraId="4BFBBDFA" w14:textId="77777777" w:rsidR="00355FC1" w:rsidRDefault="00355FC1">
      <w:pPr>
        <w:spacing w:line="480" w:lineRule="auto"/>
        <w:rPr>
          <w:rFonts w:ascii="Times New Roman" w:eastAsia="Times New Roman" w:hAnsi="Times New Roman" w:cs="Times New Roman"/>
        </w:rPr>
      </w:pPr>
    </w:p>
    <w:p w14:paraId="13B3FE62"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Affiliations:</w:t>
      </w:r>
    </w:p>
    <w:p w14:paraId="7B32B1EA"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a </w:t>
      </w:r>
      <w:r>
        <w:rPr>
          <w:rFonts w:ascii="Times New Roman" w:eastAsia="Times New Roman" w:hAnsi="Times New Roman" w:cs="Times New Roman"/>
          <w:color w:val="000000"/>
        </w:rPr>
        <w:t xml:space="preserve">Department of Biology, 1125 Colonel </w:t>
      </w:r>
      <w:proofErr w:type="gramStart"/>
      <w:r>
        <w:rPr>
          <w:rFonts w:ascii="Times New Roman" w:eastAsia="Times New Roman" w:hAnsi="Times New Roman" w:cs="Times New Roman"/>
          <w:color w:val="000000"/>
        </w:rPr>
        <w:t>By</w:t>
      </w:r>
      <w:proofErr w:type="gramEnd"/>
      <w:r>
        <w:rPr>
          <w:rFonts w:ascii="Times New Roman" w:eastAsia="Times New Roman" w:hAnsi="Times New Roman" w:cs="Times New Roman"/>
          <w:color w:val="000000"/>
        </w:rPr>
        <w:t xml:space="preserve"> Drive, Carleton University, Ottawa ON, K1S 5B6 Canada.</w:t>
      </w:r>
    </w:p>
    <w:p w14:paraId="62E066AD"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b</w:t>
      </w:r>
      <w:r>
        <w:rPr>
          <w:rFonts w:ascii="Times New Roman" w:eastAsia="Times New Roman" w:hAnsi="Times New Roman" w:cs="Times New Roman"/>
          <w:color w:val="000000"/>
        </w:rPr>
        <w:t xml:space="preserve"> Ecosystem Science and Management Program, 3333 University Way</w:t>
      </w:r>
      <w:r>
        <w:rPr>
          <w:rFonts w:ascii="Times New Roman" w:eastAsia="Times New Roman" w:hAnsi="Times New Roman" w:cs="Times New Roman"/>
          <w:color w:val="000000"/>
        </w:rPr>
        <w:t>, University of Northern British Columbia, Prince George BC, V2N 4Z9 Canada.</w:t>
      </w:r>
    </w:p>
    <w:p w14:paraId="55CFE0AD" w14:textId="77777777" w:rsidR="00355FC1" w:rsidRDefault="00BE17DB">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c</w:t>
      </w:r>
      <w:r>
        <w:rPr>
          <w:rFonts w:ascii="Times New Roman" w:eastAsia="Times New Roman" w:hAnsi="Times New Roman" w:cs="Times New Roman"/>
          <w:color w:val="000000"/>
        </w:rPr>
        <w:t>School of Planning, University of Waterloo, 200 University Ave W, Waterloo, ON, N2T 3G1, Canada</w:t>
      </w:r>
    </w:p>
    <w:p w14:paraId="22EB20EB" w14:textId="0DC3E924" w:rsidR="00355FC1" w:rsidRDefault="00BE17DB">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d </w:t>
      </w:r>
      <w:r>
        <w:rPr>
          <w:rFonts w:ascii="Times New Roman" w:eastAsia="Times New Roman" w:hAnsi="Times New Roman" w:cs="Times New Roman"/>
          <w:color w:val="000000"/>
        </w:rPr>
        <w:t>Conservation Decisions Lab, Department of Forest and Conservation Sciences, 2424</w:t>
      </w:r>
      <w:r>
        <w:rPr>
          <w:rFonts w:ascii="Times New Roman" w:eastAsia="Times New Roman" w:hAnsi="Times New Roman" w:cs="Times New Roman"/>
          <w:color w:val="000000"/>
        </w:rPr>
        <w:t xml:space="preserve"> Main Mall, </w:t>
      </w:r>
      <w:r w:rsidR="00C564B4">
        <w:rPr>
          <w:rFonts w:ascii="Times New Roman" w:eastAsia="Times New Roman" w:hAnsi="Times New Roman" w:cs="Times New Roman"/>
          <w:color w:val="000000"/>
        </w:rPr>
        <w:t>c</w:t>
      </w:r>
    </w:p>
    <w:p w14:paraId="315AA992"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e </w:t>
      </w:r>
      <w:r>
        <w:rPr>
          <w:rFonts w:ascii="Times New Roman" w:eastAsia="Times New Roman" w:hAnsi="Times New Roman" w:cs="Times New Roman"/>
          <w:color w:val="000000"/>
        </w:rPr>
        <w:t xml:space="preserve">Cornell Lab of Ornithology, </w:t>
      </w:r>
      <w:r>
        <w:rPr>
          <w:rFonts w:ascii="Times New Roman" w:eastAsia="Times New Roman" w:hAnsi="Times New Roman" w:cs="Times New Roman"/>
        </w:rPr>
        <w:t>Cornell University</w:t>
      </w:r>
      <w:r>
        <w:rPr>
          <w:rFonts w:ascii="Times New Roman" w:eastAsia="Times New Roman" w:hAnsi="Times New Roman" w:cs="Times New Roman"/>
          <w:color w:val="000000"/>
        </w:rPr>
        <w:t>, Ithaca, NY 14850, USA</w:t>
      </w:r>
    </w:p>
    <w:p w14:paraId="7E28037A"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f </w:t>
      </w:r>
      <w:r>
        <w:rPr>
          <w:rFonts w:ascii="Times New Roman" w:eastAsia="Times New Roman" w:hAnsi="Times New Roman" w:cs="Times New Roman"/>
        </w:rPr>
        <w:t>Institute for Environmental Studies</w:t>
      </w:r>
      <w:r>
        <w:rPr>
          <w:rFonts w:ascii="Times New Roman" w:eastAsia="Times New Roman" w:hAnsi="Times New Roman" w:cs="Times New Roman"/>
          <w:color w:val="000000"/>
        </w:rPr>
        <w:t>, VU University Amsterdam, Amsterdam, The Netherlands</w:t>
      </w:r>
    </w:p>
    <w:p w14:paraId="601A5D6C"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g</w:t>
      </w:r>
      <w:r>
        <w:rPr>
          <w:rFonts w:ascii="Times New Roman" w:eastAsia="Times New Roman" w:hAnsi="Times New Roman" w:cs="Times New Roman"/>
          <w:color w:val="000000"/>
        </w:rPr>
        <w:t xml:space="preserve"> Department of Nat</w:t>
      </w:r>
      <w:r>
        <w:rPr>
          <w:rFonts w:ascii="Times New Roman" w:eastAsia="Times New Roman" w:hAnsi="Times New Roman" w:cs="Times New Roman"/>
          <w:color w:val="000000"/>
        </w:rPr>
        <w:t>ural Resources</w:t>
      </w:r>
      <w:r>
        <w:rPr>
          <w:rFonts w:ascii="Times New Roman" w:eastAsia="Times New Roman" w:hAnsi="Times New Roman" w:cs="Times New Roman"/>
        </w:rPr>
        <w:t xml:space="preserve"> and the Environment</w:t>
      </w:r>
      <w:r>
        <w:rPr>
          <w:rFonts w:ascii="Times New Roman" w:eastAsia="Times New Roman" w:hAnsi="Times New Roman" w:cs="Times New Roman"/>
          <w:color w:val="000000"/>
        </w:rPr>
        <w:t>, Cornell University, Ithaca, NY 14853, USA.</w:t>
      </w:r>
    </w:p>
    <w:p w14:paraId="6E7EED0C" w14:textId="77777777" w:rsidR="00355FC1" w:rsidRDefault="00BE17DB">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h </w:t>
      </w:r>
      <w:r>
        <w:rPr>
          <w:rFonts w:ascii="Times New Roman" w:eastAsia="Times New Roman" w:hAnsi="Times New Roman" w:cs="Times New Roman"/>
          <w:color w:val="000000"/>
        </w:rPr>
        <w:t xml:space="preserve">Wildlife Research Division, Environment and Climate Change Canada, 1125 Colonel </w:t>
      </w:r>
      <w:proofErr w:type="gramStart"/>
      <w:r>
        <w:rPr>
          <w:rFonts w:ascii="Times New Roman" w:eastAsia="Times New Roman" w:hAnsi="Times New Roman" w:cs="Times New Roman"/>
          <w:color w:val="000000"/>
        </w:rPr>
        <w:t>By</w:t>
      </w:r>
      <w:proofErr w:type="gramEnd"/>
      <w:r>
        <w:rPr>
          <w:rFonts w:ascii="Times New Roman" w:eastAsia="Times New Roman" w:hAnsi="Times New Roman" w:cs="Times New Roman"/>
          <w:color w:val="000000"/>
        </w:rPr>
        <w:t xml:space="preserve"> Drive, Ottawa, Ontario, Canada, K1S 5B6</w:t>
      </w:r>
    </w:p>
    <w:p w14:paraId="1658C605" w14:textId="77777777" w:rsidR="00355FC1" w:rsidRDefault="00BE17DB">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i </w:t>
      </w:r>
      <w:r>
        <w:rPr>
          <w:rFonts w:ascii="Times New Roman" w:eastAsia="Times New Roman" w:hAnsi="Times New Roman" w:cs="Times New Roman"/>
          <w:color w:val="000000"/>
        </w:rPr>
        <w:t xml:space="preserve">Centre for Biodiversity and Conservation Science, </w:t>
      </w:r>
      <w:r>
        <w:rPr>
          <w:rFonts w:ascii="Times New Roman" w:eastAsia="Times New Roman" w:hAnsi="Times New Roman" w:cs="Times New Roman"/>
        </w:rPr>
        <w:t>University of Queensland</w:t>
      </w:r>
      <w:r>
        <w:rPr>
          <w:rFonts w:ascii="Times New Roman" w:eastAsia="Times New Roman" w:hAnsi="Times New Roman" w:cs="Times New Roman"/>
          <w:color w:val="000000"/>
        </w:rPr>
        <w:t>, St Lucia, Queensland 4067, Australia</w:t>
      </w:r>
    </w:p>
    <w:p w14:paraId="66B16D94" w14:textId="77777777" w:rsidR="00355FC1" w:rsidRDefault="00355FC1">
      <w:pPr>
        <w:spacing w:line="480" w:lineRule="auto"/>
        <w:ind w:left="357" w:hanging="357"/>
        <w:rPr>
          <w:rFonts w:ascii="Times New Roman" w:eastAsia="Times New Roman" w:hAnsi="Times New Roman" w:cs="Times New Roman"/>
          <w:color w:val="000000"/>
        </w:rPr>
      </w:pPr>
    </w:p>
    <w:p w14:paraId="3FC5B6B5"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 xml:space="preserve">*Corresponding author: Department of Biology, 1125 Colonel </w:t>
      </w:r>
      <w:proofErr w:type="gramStart"/>
      <w:r>
        <w:rPr>
          <w:rFonts w:ascii="Times New Roman" w:eastAsia="Times New Roman" w:hAnsi="Times New Roman" w:cs="Times New Roman"/>
        </w:rPr>
        <w:t>By</w:t>
      </w:r>
      <w:proofErr w:type="gramEnd"/>
      <w:r>
        <w:rPr>
          <w:rFonts w:ascii="Times New Roman" w:eastAsia="Times New Roman" w:hAnsi="Times New Roman" w:cs="Times New Roman"/>
        </w:rPr>
        <w:t xml:space="preserve"> Drive, Carleton University, Ottawa ON, K1S 5B6 Canada. Email: </w:t>
      </w:r>
      <w:hyperlink r:id="rId4">
        <w:r>
          <w:rPr>
            <w:rFonts w:ascii="Times New Roman" w:eastAsia="Times New Roman" w:hAnsi="Times New Roman" w:cs="Times New Roman"/>
          </w:rPr>
          <w:t>richard.schuster@glel.carleton.ca</w:t>
        </w:r>
      </w:hyperlink>
      <w:r>
        <w:rPr>
          <w:rFonts w:ascii="Times New Roman" w:eastAsia="Times New Roman" w:hAnsi="Times New Roman" w:cs="Times New Roman"/>
          <w:color w:val="0000FF"/>
          <w:u w:val="single"/>
        </w:rPr>
        <w:t xml:space="preserve">, </w:t>
      </w:r>
      <w:r>
        <w:rPr>
          <w:rFonts w:ascii="Times New Roman" w:eastAsia="Times New Roman" w:hAnsi="Times New Roman" w:cs="Times New Roman"/>
        </w:rPr>
        <w:t>Phone: +1 250 631 8324, ORCID: 0000-0</w:t>
      </w:r>
      <w:r>
        <w:rPr>
          <w:rFonts w:ascii="Times New Roman" w:eastAsia="Times New Roman" w:hAnsi="Times New Roman" w:cs="Times New Roman"/>
        </w:rPr>
        <w:t>003-3191-7869</w:t>
      </w:r>
    </w:p>
    <w:p w14:paraId="1EFF25D5" w14:textId="77777777" w:rsidR="00355FC1" w:rsidRDefault="00BE17DB">
      <w:pPr>
        <w:spacing w:line="480" w:lineRule="auto"/>
        <w:rPr>
          <w:rFonts w:ascii="Times New Roman" w:eastAsia="Times New Roman" w:hAnsi="Times New Roman" w:cs="Times New Roman"/>
        </w:rPr>
      </w:pPr>
      <w:r>
        <w:br w:type="page"/>
      </w:r>
    </w:p>
    <w:p w14:paraId="3D5B1B52"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First paragraph</w:t>
      </w:r>
    </w:p>
    <w:p w14:paraId="6B33E271" w14:textId="2D569B6D"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Despite being key instruments in conservation efforts, protected areas are vulnerable to risks associated with (i) weak enforcement and governance</w:t>
      </w:r>
      <w:r w:rsidR="00C564B4">
        <w:rPr>
          <w:rFonts w:ascii="Times New Roman" w:eastAsia="Times New Roman" w:hAnsi="Times New Roman" w:cs="Times New Roman"/>
        </w:rPr>
        <w:fldChar w:fldCharType="begin"/>
      </w:r>
      <w:r w:rsidR="00C564B4">
        <w:rPr>
          <w:rFonts w:ascii="Times New Roman" w:eastAsia="Times New Roman" w:hAnsi="Times New Roman" w:cs="Times New Roman"/>
        </w:rPr>
        <w:instrText xml:space="preserve"> ADDIN ZOTERO_ITEM CSL_CITATION {"citationID":"mCzbNdQc","properties":{"formattedCitation":"\\super 1\\nosupersub{}","plainCitation":"1","noteIndex":0},"citationItems":[{"id":1165,"uris":["http://zotero.org/users/878981/items/5ESHQ8QG"],"uri":["http://zotero.org/users/878981/items/5ESHQ8QG"],"itemData":{"id":1165,"type":"article-journal","container-title":"Conservation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B"},{"family":"Pailler","given":"Sharon"}],"issued":{"date-parts":[["2011"]]}}}],"schema":"https://github.com/citation-style-language/schema/raw/master/csl-citation.json"} </w:instrText>
      </w:r>
      <w:r w:rsidR="00C564B4">
        <w:rPr>
          <w:rFonts w:ascii="Times New Roman" w:eastAsia="Times New Roman" w:hAnsi="Times New Roman" w:cs="Times New Roman"/>
        </w:rPr>
        <w:fldChar w:fldCharType="separate"/>
      </w:r>
      <w:r w:rsidR="00C564B4" w:rsidRPr="00C564B4">
        <w:rPr>
          <w:rFonts w:ascii="Times New Roman" w:hAnsi="Times New Roman" w:cs="Times New Roman"/>
          <w:vertAlign w:val="superscript"/>
        </w:rPr>
        <w:t>1</w:t>
      </w:r>
      <w:r w:rsidR="00C564B4">
        <w:rPr>
          <w:rFonts w:ascii="Times New Roman" w:eastAsia="Times New Roman" w:hAnsi="Times New Roman" w:cs="Times New Roman"/>
        </w:rPr>
        <w:fldChar w:fldCharType="end"/>
      </w:r>
      <w:r>
        <w:rPr>
          <w:rFonts w:ascii="Times New Roman" w:eastAsia="Times New Roman" w:hAnsi="Times New Roman" w:cs="Times New Roman"/>
        </w:rPr>
        <w:t>, (ii) pressure from land-use intensification</w:t>
      </w:r>
      <w:r w:rsidR="002C709C">
        <w:rPr>
          <w:rFonts w:ascii="Times New Roman" w:eastAsia="Times New Roman" w:hAnsi="Times New Roman" w:cs="Times New Roman"/>
        </w:rPr>
        <w:fldChar w:fldCharType="begin"/>
      </w:r>
      <w:r w:rsidR="002C709C">
        <w:rPr>
          <w:rFonts w:ascii="Times New Roman" w:eastAsia="Times New Roman" w:hAnsi="Times New Roman" w:cs="Times New Roman"/>
        </w:rPr>
        <w:instrText xml:space="preserve"> ADDIN ZOTERO_ITEM CSL_CITATION {"citationID":"MKMkRh81","properties":{"formattedCitation":"\\super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C709C">
        <w:rPr>
          <w:rFonts w:ascii="Times New Roman" w:eastAsia="Times New Roman" w:hAnsi="Times New Roman" w:cs="Times New Roman"/>
        </w:rPr>
        <w:fldChar w:fldCharType="separate"/>
      </w:r>
      <w:r w:rsidR="002C709C" w:rsidRPr="002C709C">
        <w:rPr>
          <w:rFonts w:ascii="Times New Roman" w:hAnsi="Times New Roman" w:cs="Times New Roman"/>
          <w:vertAlign w:val="superscript"/>
        </w:rPr>
        <w:t>2</w:t>
      </w:r>
      <w:r w:rsidR="002C709C">
        <w:rPr>
          <w:rFonts w:ascii="Times New Roman" w:eastAsia="Times New Roman" w:hAnsi="Times New Roman" w:cs="Times New Roman"/>
        </w:rPr>
        <w:fldChar w:fldCharType="end"/>
      </w:r>
      <w:r>
        <w:rPr>
          <w:rFonts w:ascii="Times New Roman" w:eastAsia="Times New Roman" w:hAnsi="Times New Roman" w:cs="Times New Roman"/>
        </w:rPr>
        <w:t>, and (iii) climate change</w:t>
      </w:r>
      <w:r w:rsidR="00AF7756">
        <w:rPr>
          <w:rFonts w:ascii="Times New Roman" w:eastAsia="Times New Roman" w:hAnsi="Times New Roman" w:cs="Times New Roman"/>
        </w:rPr>
        <w:fldChar w:fldCharType="begin"/>
      </w:r>
      <w:r w:rsidR="00AF7756">
        <w:rPr>
          <w:rFonts w:ascii="Times New Roman" w:eastAsia="Times New Roman" w:hAnsi="Times New Roman" w:cs="Times New Roman"/>
        </w:rPr>
        <w:instrText xml:space="preserve"> ADDIN ZOTERO_ITEM CSL_CITATION {"citationID":"SXoWNlqn","properties":{"formattedCitation":"\\super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AF7756">
        <w:rPr>
          <w:rFonts w:ascii="Times New Roman" w:eastAsia="Times New Roman" w:hAnsi="Times New Roman" w:cs="Times New Roman"/>
        </w:rPr>
        <w:fldChar w:fldCharType="separate"/>
      </w:r>
      <w:r w:rsidR="00AF7756" w:rsidRPr="00AF7756">
        <w:rPr>
          <w:rFonts w:ascii="Times New Roman" w:hAnsi="Times New Roman" w:cs="Times New Roman"/>
          <w:vertAlign w:val="superscript"/>
        </w:rPr>
        <w:t>3</w:t>
      </w:r>
      <w:r w:rsidR="00AF7756">
        <w:rPr>
          <w:rFonts w:ascii="Times New Roman" w:eastAsia="Times New Roman" w:hAnsi="Times New Roman" w:cs="Times New Roman"/>
        </w:rPr>
        <w:fldChar w:fldCharType="end"/>
      </w:r>
      <w:r>
        <w:rPr>
          <w:rFonts w:ascii="Times New Roman" w:eastAsia="Times New Roman" w:hAnsi="Times New Roman" w:cs="Times New Roman"/>
        </w:rPr>
        <w:t>, an</w:t>
      </w:r>
      <w:r>
        <w:rPr>
          <w:rFonts w:ascii="Times New Roman" w:eastAsia="Times New Roman" w:hAnsi="Times New Roman" w:cs="Times New Roman"/>
        </w:rPr>
        <w:t>y of which can reduce their effectiveness. Although failing to consider such risk factors in planning diminishes the ability of protected areas to uphold international biodiversity goals</w:t>
      </w:r>
      <w:r w:rsidR="004D3537">
        <w:rPr>
          <w:rFonts w:ascii="Times New Roman" w:eastAsia="Times New Roman" w:hAnsi="Times New Roman" w:cs="Times New Roman"/>
        </w:rPr>
        <w:fldChar w:fldCharType="begin"/>
      </w:r>
      <w:r w:rsidR="004D3537">
        <w:rPr>
          <w:rFonts w:ascii="Times New Roman" w:eastAsia="Times New Roman" w:hAnsi="Times New Roman" w:cs="Times New Roman"/>
        </w:rPr>
        <w:instrText xml:space="preserve"> ADDIN ZOTERO_ITEM CSL_CITATION {"citationID":"qieGcYJz","properties":{"formattedCitation":"\\super 4\\nosupersub{}","plainCitation":"4","noteIndex":0},"citationItems":[{"id":840,"uris":["http://zotero.org/users/878981/items/SFEVMJYB"],"uri":["http://zotero.org/users/878981/items/SFEVMJYB"],"itemData":{"id":840,"type":"article","title":"Zero draft of the post-2020 global biodiversity framework","URL":"https://www.cbd.int/doc/c/efb0/1f84/a892b98d2982a829962b6371/wg2020-02-03-en.pdf"}}],"schema":"https://github.com/citation-style-language/schema/raw/master/csl-citation.json"} </w:instrText>
      </w:r>
      <w:r w:rsidR="004D3537">
        <w:rPr>
          <w:rFonts w:ascii="Times New Roman" w:eastAsia="Times New Roman" w:hAnsi="Times New Roman" w:cs="Times New Roman"/>
        </w:rPr>
        <w:fldChar w:fldCharType="separate"/>
      </w:r>
      <w:r w:rsidR="004D3537" w:rsidRPr="004D3537">
        <w:rPr>
          <w:rFonts w:ascii="Times New Roman" w:hAnsi="Times New Roman" w:cs="Times New Roman"/>
          <w:vertAlign w:val="superscript"/>
        </w:rPr>
        <w:t>4</w:t>
      </w:r>
      <w:r w:rsidR="004D3537">
        <w:rPr>
          <w:rFonts w:ascii="Times New Roman" w:eastAsia="Times New Roman" w:hAnsi="Times New Roman" w:cs="Times New Roman"/>
        </w:rPr>
        <w:fldChar w:fldCharType="end"/>
      </w:r>
      <w:r>
        <w:rPr>
          <w:rFonts w:ascii="Times New Roman" w:eastAsia="Times New Roman" w:hAnsi="Times New Roman" w:cs="Times New Roman"/>
        </w:rPr>
        <w:t>, accounting for them can require additional expenditure. Here we sho</w:t>
      </w:r>
      <w:r>
        <w:rPr>
          <w:rFonts w:ascii="Times New Roman" w:eastAsia="Times New Roman" w:hAnsi="Times New Roman" w:cs="Times New Roman"/>
        </w:rPr>
        <w:t xml:space="preserve">w that plans for expanding the global protected area system that explicitly account for such risks require remarkably small (1%) increases in the amount of land protected relative to ignoring risk. Using a multi-objective spatial optimization routine, </w:t>
      </w:r>
      <w:r>
        <w:rPr>
          <w:rFonts w:ascii="Times New Roman" w:eastAsia="Times New Roman" w:hAnsi="Times New Roman" w:cs="Times New Roman"/>
        </w:rPr>
        <w:t xml:space="preserve">we </w:t>
      </w:r>
      <w:r>
        <w:rPr>
          <w:rFonts w:ascii="Times New Roman" w:eastAsia="Times New Roman" w:hAnsi="Times New Roman" w:cs="Times New Roman"/>
        </w:rPr>
        <w:t>developed plans to expand the existing protected area estate – ensuring adequate coverage of all known terrestrial vertebrate species – that accounted for these three categories of risk. Among the three risk categories, governance drove the greatest variat</w:t>
      </w:r>
      <w:r>
        <w:rPr>
          <w:rFonts w:ascii="Times New Roman" w:eastAsia="Times New Roman" w:hAnsi="Times New Roman" w:cs="Times New Roman"/>
        </w:rPr>
        <w:t>ion in the location of land prioritized for protection. In particular, conserving wide-ranging species required countries with relatively strong governance to protect more land when bordering nations with comparatively weak governance. Our results both und</w:t>
      </w:r>
      <w:r>
        <w:rPr>
          <w:rFonts w:ascii="Times New Roman" w:eastAsia="Times New Roman" w:hAnsi="Times New Roman" w:cs="Times New Roman"/>
        </w:rPr>
        <w:t xml:space="preserve">erscore the need for cross-jurisdictional coordination and demonstrate how risk can be efficiently incorporated into global planning efforts. </w:t>
      </w:r>
    </w:p>
    <w:p w14:paraId="4082F818" w14:textId="77777777" w:rsidR="00355FC1" w:rsidRDefault="00355FC1">
      <w:pPr>
        <w:spacing w:before="57" w:after="57" w:line="480" w:lineRule="auto"/>
        <w:rPr>
          <w:rFonts w:ascii="Times New Roman" w:eastAsia="Times New Roman" w:hAnsi="Times New Roman" w:cs="Times New Roman"/>
        </w:rPr>
      </w:pPr>
    </w:p>
    <w:p w14:paraId="7B74920C"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t>Main text</w:t>
      </w:r>
    </w:p>
    <w:p w14:paraId="4213D4B0" w14:textId="6EFB79DE"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P</w:t>
      </w:r>
      <w:r>
        <w:rPr>
          <w:rFonts w:ascii="Times New Roman" w:eastAsia="Times New Roman" w:hAnsi="Times New Roman" w:cs="Times New Roman"/>
          <w:color w:val="000000"/>
        </w:rPr>
        <w:t xml:space="preserve">rotecting habitat is one of the best strategies for stemming the alarming decline </w:t>
      </w:r>
      <w:r>
        <w:rPr>
          <w:rFonts w:ascii="Times New Roman" w:eastAsia="Times New Roman" w:hAnsi="Times New Roman" w:cs="Times New Roman"/>
        </w:rPr>
        <w:t>of</w:t>
      </w:r>
      <w:r>
        <w:rPr>
          <w:rFonts w:ascii="Times New Roman" w:eastAsia="Times New Roman" w:hAnsi="Times New Roman" w:cs="Times New Roman"/>
          <w:color w:val="000000"/>
        </w:rPr>
        <w:t xml:space="preserve"> biodiversity</w:t>
      </w:r>
      <w:r w:rsidR="007A76BB">
        <w:rPr>
          <w:rFonts w:ascii="Times New Roman" w:eastAsia="Times New Roman" w:hAnsi="Times New Roman" w:cs="Times New Roman"/>
          <w:color w:val="000000"/>
        </w:rPr>
        <w:fldChar w:fldCharType="begin"/>
      </w:r>
      <w:r w:rsidR="007A76BB">
        <w:rPr>
          <w:rFonts w:ascii="Times New Roman" w:eastAsia="Times New Roman" w:hAnsi="Times New Roman" w:cs="Times New Roman"/>
          <w:color w:val="000000"/>
        </w:rPr>
        <w:instrText xml:space="preserve"> ADDIN ZOTERO_ITEM CSL_CITATION {"citationID":"nvEmJ1HL","properties":{"formattedCitation":"\\super 5\\nosupersub{}","plainCitation":"5","noteIndex":0},"citationItems":[{"id":871,"uris":["http://zotero.org/users/878981/items/FSA6YZGH"],"uri":["http://zotero.org/users/878981/items/FSA6YZGH"],"itemData":{"id":871,"type":"article-journal","container-title":"Nature","issue":"7525","page":"67–73","source":"Google Scholar","title":"The performance and potential of protected areas","volume":"515","author":[{"family":"Watson","given":"James EM"},{"family":"Dudley","given":"Nigel"},{"family":"Segan","given":"Daniel B."},{"family":"Hockings","given":"Marc"}],"issued":{"date-parts":[["2014"]]}}}],"schema":"https://github.com/citation-style-language/schema/raw/master/csl-citation.json"} </w:instrText>
      </w:r>
      <w:r w:rsidR="007A76BB">
        <w:rPr>
          <w:rFonts w:ascii="Times New Roman" w:eastAsia="Times New Roman" w:hAnsi="Times New Roman" w:cs="Times New Roman"/>
          <w:color w:val="000000"/>
        </w:rPr>
        <w:fldChar w:fldCharType="separate"/>
      </w:r>
      <w:r w:rsidR="007A76BB" w:rsidRPr="007A76BB">
        <w:rPr>
          <w:rFonts w:ascii="Times New Roman" w:hAnsi="Times New Roman" w:cs="Times New Roman"/>
          <w:vertAlign w:val="superscript"/>
        </w:rPr>
        <w:t>5</w:t>
      </w:r>
      <w:r w:rsidR="007A76BB">
        <w:rPr>
          <w:rFonts w:ascii="Times New Roman" w:eastAsia="Times New Roman" w:hAnsi="Times New Roman" w:cs="Times New Roman"/>
          <w:color w:val="000000"/>
        </w:rPr>
        <w:fldChar w:fldCharType="end"/>
      </w:r>
      <w:r>
        <w:rPr>
          <w:rFonts w:ascii="Times New Roman" w:eastAsia="Times New Roman" w:hAnsi="Times New Roman" w:cs="Times New Roman"/>
        </w:rPr>
        <w:t>. A</w:t>
      </w:r>
      <w:r>
        <w:rPr>
          <w:rFonts w:ascii="Times New Roman" w:eastAsia="Times New Roman" w:hAnsi="Times New Roman" w:cs="Times New Roman"/>
        </w:rPr>
        <w:t>s such, the cornerstone of the new global framework for biodiversity conservation is to protect at least 30% of terrestrial land area by 2030</w:t>
      </w:r>
      <w:r w:rsidR="002E6F31">
        <w:rPr>
          <w:rFonts w:ascii="Times New Roman" w:eastAsia="Times New Roman" w:hAnsi="Times New Roman" w:cs="Times New Roman"/>
        </w:rPr>
        <w:fldChar w:fldCharType="begin"/>
      </w:r>
      <w:r w:rsidR="00E47CA6">
        <w:rPr>
          <w:rFonts w:ascii="Times New Roman" w:eastAsia="Times New Roman" w:hAnsi="Times New Roman" w:cs="Times New Roman"/>
        </w:rPr>
        <w:instrText xml:space="preserve"> ADDIN ZOTERO_ITEM CSL_CITATION {"citationID":"hBnJe0D4","properties":{"formattedCitation":"\\super 4\\nosupersub{}","plainCitation":"4","noteIndex":0},"citationItems":[{"id":840,"uris":["http://zotero.org/users/878981/items/SFEVMJYB"],"uri":["http://zotero.org/users/878981/items/SFEVMJYB"],"itemData":{"id":840,"type":"article","title":"Zero draft of the post-2020 global biodiversity framework","URL":"https://www.cbd.int/doc/c/efb0/1f84/a892b98d2982a829962b6371/wg2020-02-03-en.pdf"}}],"schema":"https://github.com/citation-style-language/schema/raw/master/csl-citation.json"} </w:instrText>
      </w:r>
      <w:r w:rsidR="002E6F31">
        <w:rPr>
          <w:rFonts w:ascii="Times New Roman" w:eastAsia="Times New Roman" w:hAnsi="Times New Roman" w:cs="Times New Roman"/>
        </w:rPr>
        <w:fldChar w:fldCharType="separate"/>
      </w:r>
      <w:r w:rsidR="002E6F31" w:rsidRPr="004D3537">
        <w:rPr>
          <w:rFonts w:ascii="Times New Roman" w:hAnsi="Times New Roman" w:cs="Times New Roman"/>
          <w:vertAlign w:val="superscript"/>
        </w:rPr>
        <w:t>4</w:t>
      </w:r>
      <w:r w:rsidR="002E6F31">
        <w:rPr>
          <w:rFonts w:ascii="Times New Roman" w:eastAsia="Times New Roman" w:hAnsi="Times New Roman" w:cs="Times New Roman"/>
        </w:rPr>
        <w:fldChar w:fldCharType="end"/>
      </w:r>
      <w:r>
        <w:rPr>
          <w:rFonts w:ascii="Times New Roman" w:eastAsia="Times New Roman" w:hAnsi="Times New Roman" w:cs="Times New Roman"/>
        </w:rPr>
        <w:t>.  Most current approaches for identifying important areas to protect rely upon estimations of the conservation va</w:t>
      </w:r>
      <w:r>
        <w:rPr>
          <w:rFonts w:ascii="Times New Roman" w:eastAsia="Times New Roman" w:hAnsi="Times New Roman" w:cs="Times New Roman"/>
        </w:rPr>
        <w:t>lue of the land for biodiversity and the threats it faces</w:t>
      </w:r>
      <w:r w:rsidR="00E47CA6">
        <w:rPr>
          <w:rFonts w:ascii="Times New Roman" w:eastAsia="Times New Roman" w:hAnsi="Times New Roman" w:cs="Times New Roman"/>
        </w:rPr>
        <w:fldChar w:fldCharType="begin"/>
      </w:r>
      <w:r w:rsidR="00E47CA6">
        <w:rPr>
          <w:rFonts w:ascii="Times New Roman" w:eastAsia="Times New Roman" w:hAnsi="Times New Roman" w:cs="Times New Roman"/>
        </w:rPr>
        <w:instrText xml:space="preserve"> ADDIN ZOTERO_ITEM CSL_CITATION {"citationID":"RS22Wpfl","properties":{"formattedCitation":"\\super 4,6,7\\nosupersub{}","plainCitation":"4,6,7","noteIndex":0},"citationItems":[{"id":840,"uris":["http://zotero.org/users/878981/items/SFEVMJYB"],"uri":["http://zotero.org/users/878981/items/SFEVMJYB"],"itemData":{"id":840,"type":"article","title":"Zero draft of the post-2020 global biodiversity framework","URL":"https://www.cbd.int/doc/c/efb0/1f84/a892b98d2982a829962b6371/wg2020-02-03-en.pdf"}},{"id":841,"uris":["http://zotero.org/users/878981/items/X76NAH4G"],"uri":["http://zotero.org/users/878981/items/X76NAH4G"],"itemData":{"id":841,"type":"article-journal","container-title":"science","issue":"5783","note":"publisher: American Association for the Advancement of Science","page":"58–61","source":"Google Scholar","title":"Global biodiversity conservation priorities","volume":"313","author":[{"family":"Brooks","given":"Thomas M."},{"family":"Mittermeier","given":"Russell A."},{"family":"Fonseca","given":"Gustavo AB","non-dropping-particle":"da"},{"family":"Gerlach","given":"Justin"},{"family":"Hoffmann","given":"Michael"},{"family":"Lamoreux","given":"John F."},{"family":"Mittermeier","given":"Cristina Goettsch"},{"family":"Pilgrim","given":"John D."},{"family":"Rodrigues","given":"Ana SL"}],"issued":{"date-parts":[["2006"]]}}},{"id":987,"uris":["http://zotero.org/users/878981/items/3BJFD82E"],"uri":["http://zotero.org/users/878981/items/3BJFD82E"],"itemData":{"id":987,"type":"article-journal","abstract":"Meeting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E47CA6">
        <w:rPr>
          <w:rFonts w:ascii="Times New Roman" w:eastAsia="Times New Roman" w:hAnsi="Times New Roman" w:cs="Times New Roman"/>
        </w:rPr>
        <w:fldChar w:fldCharType="separate"/>
      </w:r>
      <w:r w:rsidR="00E47CA6" w:rsidRPr="00E47CA6">
        <w:rPr>
          <w:rFonts w:ascii="Times New Roman" w:hAnsi="Times New Roman" w:cs="Times New Roman"/>
          <w:vertAlign w:val="superscript"/>
        </w:rPr>
        <w:t>4,6,7</w:t>
      </w:r>
      <w:r w:rsidR="00E47CA6">
        <w:rPr>
          <w:rFonts w:ascii="Times New Roman" w:eastAsia="Times New Roman" w:hAnsi="Times New Roman" w:cs="Times New Roman"/>
        </w:rPr>
        <w:fldChar w:fldCharType="end"/>
      </w:r>
      <w:r>
        <w:rPr>
          <w:rFonts w:ascii="Times New Roman" w:eastAsia="Times New Roman" w:hAnsi="Times New Roman" w:cs="Times New Roman"/>
        </w:rPr>
        <w:t>. Seldom articulated in such</w:t>
      </w:r>
      <w:r>
        <w:rPr>
          <w:rFonts w:ascii="Times New Roman" w:eastAsia="Times New Roman" w:hAnsi="Times New Roman" w:cs="Times New Roman"/>
        </w:rPr>
        <w:t xml:space="preserve"> plans is the tacit assumption that protection is enforced, </w:t>
      </w:r>
      <w:r>
        <w:rPr>
          <w:rFonts w:ascii="Times New Roman" w:eastAsia="Times New Roman" w:hAnsi="Times New Roman" w:cs="Times New Roman"/>
        </w:rPr>
        <w:t>effective, and permanent, yet it is well known many protected areas are subject to risks from weak gover</w:t>
      </w:r>
      <w:r>
        <w:rPr>
          <w:rFonts w:ascii="Times New Roman" w:eastAsia="Times New Roman" w:hAnsi="Times New Roman" w:cs="Times New Roman"/>
        </w:rPr>
        <w:t>nance,</w:t>
      </w:r>
      <w:r w:rsidR="0078434D">
        <w:rPr>
          <w:rFonts w:ascii="Times New Roman" w:eastAsia="Times New Roman" w:hAnsi="Times New Roman" w:cs="Times New Roman"/>
        </w:rPr>
        <w:t xml:space="preserve"> </w:t>
      </w:r>
      <w:r>
        <w:rPr>
          <w:rFonts w:ascii="Times New Roman" w:eastAsia="Times New Roman" w:hAnsi="Times New Roman" w:cs="Times New Roman"/>
          <w:color w:val="000000"/>
        </w:rPr>
        <w:t xml:space="preserve">land use intensification, and </w:t>
      </w:r>
      <w:r>
        <w:rPr>
          <w:rFonts w:ascii="Times New Roman" w:eastAsia="Times New Roman" w:hAnsi="Times New Roman" w:cs="Times New Roman"/>
        </w:rPr>
        <w:t>c</w:t>
      </w:r>
      <w:r>
        <w:rPr>
          <w:rFonts w:ascii="Times New Roman" w:eastAsia="Times New Roman" w:hAnsi="Times New Roman" w:cs="Times New Roman"/>
          <w:color w:val="000000"/>
        </w:rPr>
        <w:t xml:space="preserve">limate change. For example: the quality of governance </w:t>
      </w:r>
      <w:r>
        <w:rPr>
          <w:rFonts w:ascii="Times New Roman" w:eastAsia="Times New Roman" w:hAnsi="Times New Roman" w:cs="Times New Roman"/>
        </w:rPr>
        <w:t>relates to</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lastRenderedPageBreak/>
        <w:t>investment in conservation</w:t>
      </w:r>
      <w:r w:rsidR="00527A63">
        <w:rPr>
          <w:rFonts w:ascii="Times New Roman" w:eastAsia="Times New Roman" w:hAnsi="Times New Roman" w:cs="Times New Roman"/>
          <w:color w:val="000000"/>
        </w:rPr>
        <w:fldChar w:fldCharType="begin"/>
      </w:r>
      <w:r w:rsidR="00527A63">
        <w:rPr>
          <w:rFonts w:ascii="Times New Roman" w:eastAsia="Times New Roman" w:hAnsi="Times New Roman" w:cs="Times New Roman"/>
          <w:color w:val="000000"/>
        </w:rPr>
        <w:instrText xml:space="preserve"> ADDIN ZOTERO_ITEM CSL_CITATION {"citationID":"vWA9fRsf","properties":{"formattedCitation":"\\super 8,9\\nosupersub{}","plainCitation":"8,9","noteIndex":0},"citationItems":[{"id":837,"uris":["http://zotero.org/users/878981/items/PI9T6SWC"],"uri":["http://zotero.org/users/878981/items/PI9T6SWC"],"itemData":{"id":837,"type":"article-journal","container-title":"Environmental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F."}],"issued":{"date-parts":[["2018"]]}}},{"id":836,"uris":["http://zotero.org/users/878981/items/8RUH7MFK"],"uri":["http://zotero.org/users/878981/items/8RUH7MFK"],"itemData":{"id":836,"type":"article-journal","container-title":"Conservation Letters","issue":"1","note":"publisher: Wiley Online Library","page":"12–20","source":"Google Scholar","title":"Biodiversity, governance, and the allocation of international aid for conservation","volume":"6","author":[{"family":"Miller","given":"Daniel C."},{"family":"Agrawal","given":"Arun"},{"family":"Roberts","given":"J. Timmons"}],"issued":{"date-parts":[["2013"]]}}}],"schema":"https://github.com/citation-style-language/schema/raw/master/csl-citation.json"} </w:instrText>
      </w:r>
      <w:r w:rsidR="00527A63">
        <w:rPr>
          <w:rFonts w:ascii="Times New Roman" w:eastAsia="Times New Roman" w:hAnsi="Times New Roman" w:cs="Times New Roman"/>
          <w:color w:val="000000"/>
        </w:rPr>
        <w:fldChar w:fldCharType="separate"/>
      </w:r>
      <w:r w:rsidR="00527A63" w:rsidRPr="00527A63">
        <w:rPr>
          <w:rFonts w:ascii="Times New Roman" w:hAnsi="Times New Roman" w:cs="Times New Roman"/>
          <w:vertAlign w:val="superscript"/>
        </w:rPr>
        <w:t>8,9</w:t>
      </w:r>
      <w:r w:rsidR="00527A63">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political instability and corruption can reduce protected area effectiveness</w:t>
      </w:r>
      <w:r w:rsidR="006C5330">
        <w:rPr>
          <w:rFonts w:ascii="Times New Roman" w:eastAsia="Times New Roman" w:hAnsi="Times New Roman" w:cs="Times New Roman"/>
          <w:color w:val="000000"/>
        </w:rPr>
        <w:fldChar w:fldCharType="begin"/>
      </w:r>
      <w:r w:rsidR="006C5330">
        <w:rPr>
          <w:rFonts w:ascii="Times New Roman" w:eastAsia="Times New Roman" w:hAnsi="Times New Roman" w:cs="Times New Roman"/>
          <w:color w:val="000000"/>
        </w:rPr>
        <w:instrText xml:space="preserve"> ADDIN ZOTERO_ITEM CSL_CITATION {"citationID":"9WJdH9EK","properties":{"formattedCitation":"\\super 10,11\\nosupersub{}","plainCitation":"10,11","noteIndex":0},"citationItems":[{"id":835,"uris":["http://zotero.org/users/878981/items/SNVLICL8"],"uri":["http://zotero.org/users/878981/items/SNVLICL8"],"itemData":{"id":835,"type":"article-journal","container-title":"Conservation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D."}],"issued":{"date-parts":[["2018"]]}}},{"id":2867,"uris":["http://zotero.org/users/878981/items/QVRFZIGM"],"uri":["http://zotero.org/users/878981/items/QVRFZIGM"],"itemData":{"id":2867,"type":"article-journal","abstract":"The high incidence of armed conflicts in biodiverse regions poses significant challenges in achieving international conservation targets. Because attitudes towards risk vary, we assessed different strategies for protected area planning that reflected alternative attitudes towards the risk of armed conflicts. We find that ignoring conflict risk will deliver the lowest return on investment. Opting to completely avoid conflict-prone areas offers limited improvements and could lead to species receiving no protection. Accounting for conflict by protecting additional areas to offset the impacts of armed conflicts would not only increase the return on investment (an effect that is enhanced when high-risk areas are excluded) but also increase upfront conservation costs. Our results also demonstrate that fine-scale estimations of conflict risk could enhance the cost-effectiveness of investments. We conclude that achieving biodiversity targets in volatile regions will require greater initial investment and benefit from fine-resolution estimates of conflict risk.","container-title":"Nature Communications","DOI":"10.1038/ncomms11042","ISSN":"2041-1723","issue":"1","language":"en","note":"number: 1\npublisher: Nature Publishing Group","page":"11042","source":"www.nature.com","title":"Factoring attitudes towards armed conflict risk into selection of protected areas for conservation","volume":"7","author":[{"family":"Hammill","given":"E."},{"family":"Tulloch","given":"A. I. T."},{"family":"Possingham","given":"H. P."},{"family":"Strange","given":"N."},{"family":"Wilson","given":"K. A."}],"issued":{"date-parts":[["2016",3,30]]}}}],"schema":"https://github.com/citation-style-language/schema/raw/master/csl-citation.json"} </w:instrText>
      </w:r>
      <w:r w:rsidR="006C5330">
        <w:rPr>
          <w:rFonts w:ascii="Times New Roman" w:eastAsia="Times New Roman" w:hAnsi="Times New Roman" w:cs="Times New Roman"/>
          <w:color w:val="000000"/>
        </w:rPr>
        <w:fldChar w:fldCharType="separate"/>
      </w:r>
      <w:r w:rsidR="006C5330" w:rsidRPr="006C5330">
        <w:rPr>
          <w:rFonts w:ascii="Times New Roman" w:hAnsi="Times New Roman" w:cs="Times New Roman"/>
          <w:vertAlign w:val="superscript"/>
        </w:rPr>
        <w:t>10,11</w:t>
      </w:r>
      <w:r w:rsidR="006C533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protected areas with </w:t>
      </w:r>
      <w:r>
        <w:rPr>
          <w:rFonts w:ascii="Times New Roman" w:eastAsia="Times New Roman" w:hAnsi="Times New Roman" w:cs="Times New Roman"/>
        </w:rPr>
        <w:t>high</w:t>
      </w:r>
      <w:r>
        <w:rPr>
          <w:rFonts w:ascii="Times New Roman" w:eastAsia="Times New Roman" w:hAnsi="Times New Roman" w:cs="Times New Roman"/>
          <w:color w:val="000000"/>
        </w:rPr>
        <w:t xml:space="preserve"> deforestation rates are at </w:t>
      </w:r>
      <w:r>
        <w:rPr>
          <w:rFonts w:ascii="Times New Roman" w:eastAsia="Times New Roman" w:hAnsi="Times New Roman" w:cs="Times New Roman"/>
        </w:rPr>
        <w:t>greater</w:t>
      </w:r>
      <w:r>
        <w:rPr>
          <w:rFonts w:ascii="Times New Roman" w:eastAsia="Times New Roman" w:hAnsi="Times New Roman" w:cs="Times New Roman"/>
          <w:color w:val="000000"/>
        </w:rPr>
        <w:t xml:space="preserve"> risk of </w:t>
      </w:r>
      <w:r>
        <w:rPr>
          <w:rFonts w:ascii="Times New Roman" w:eastAsia="Times New Roman" w:hAnsi="Times New Roman" w:cs="Times New Roman"/>
        </w:rPr>
        <w:t>degazettement</w:t>
      </w:r>
      <w:r>
        <w:rPr>
          <w:rFonts w:ascii="Times New Roman" w:eastAsia="Times New Roman" w:hAnsi="Times New Roman" w:cs="Times New Roman"/>
          <w:color w:val="000000"/>
        </w:rPr>
        <w:t xml:space="preserve"> and fail</w:t>
      </w:r>
      <w:r>
        <w:rPr>
          <w:rFonts w:ascii="Times New Roman" w:eastAsia="Times New Roman" w:hAnsi="Times New Roman" w:cs="Times New Roman"/>
        </w:rPr>
        <w:t>ure to meet protection goals</w:t>
      </w:r>
      <w:r w:rsidR="00A06674">
        <w:rPr>
          <w:rFonts w:ascii="Times New Roman" w:eastAsia="Times New Roman" w:hAnsi="Times New Roman" w:cs="Times New Roman"/>
        </w:rPr>
        <w:fldChar w:fldCharType="begin"/>
      </w:r>
      <w:r w:rsidR="00A06674">
        <w:rPr>
          <w:rFonts w:ascii="Times New Roman" w:eastAsia="Times New Roman" w:hAnsi="Times New Roman" w:cs="Times New Roman"/>
        </w:rPr>
        <w:instrText xml:space="preserve"> ADDIN ZOTERO_ITEM CSL_CITATION {"citationID":"qA7irp79","properties":{"formattedCitation":"\\super 12\\nosupersub{}","plainCitation":"12","noteIndex":0},"citationItems":[{"id":839,"uris":["http://zotero.org/users/878981/items/TLMCALYG"],"uri":["http://zotero.org/users/878981/items/TLMCALYG"],"itemData":{"id":839,"type":"article-journal","container-title":"Proceedings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B."}],"issued":{"date-parts":[["2018"]]}}}],"schema":"https://github.com/citation-style-language/schema/raw/master/csl-citation.json"} </w:instrText>
      </w:r>
      <w:r w:rsidR="00A06674">
        <w:rPr>
          <w:rFonts w:ascii="Times New Roman" w:eastAsia="Times New Roman" w:hAnsi="Times New Roman" w:cs="Times New Roman"/>
        </w:rPr>
        <w:fldChar w:fldCharType="separate"/>
      </w:r>
      <w:r w:rsidR="00A06674" w:rsidRPr="00A06674">
        <w:rPr>
          <w:rFonts w:ascii="Times New Roman" w:hAnsi="Times New Roman" w:cs="Times New Roman"/>
          <w:vertAlign w:val="superscript"/>
        </w:rPr>
        <w:t>12</w:t>
      </w:r>
      <w:r w:rsidR="00A06674">
        <w:rPr>
          <w:rFonts w:ascii="Times New Roman" w:eastAsia="Times New Roman" w:hAnsi="Times New Roman" w:cs="Times New Roman"/>
        </w:rPr>
        <w:fldChar w:fldCharType="end"/>
      </w:r>
      <w:r>
        <w:rPr>
          <w:rFonts w:ascii="Times New Roman" w:eastAsia="Times New Roman" w:hAnsi="Times New Roman" w:cs="Times New Roman"/>
          <w:color w:val="000000"/>
        </w:rPr>
        <w:t xml:space="preserve">; and increased extreme weather events cause declines and extirpations in native </w:t>
      </w:r>
      <w:r>
        <w:rPr>
          <w:rFonts w:ascii="Times New Roman" w:eastAsia="Times New Roman" w:hAnsi="Times New Roman" w:cs="Times New Roman"/>
        </w:rPr>
        <w:t>populations</w:t>
      </w:r>
      <w:r w:rsidR="00E71605">
        <w:rPr>
          <w:rFonts w:ascii="Times New Roman" w:eastAsia="Times New Roman" w:hAnsi="Times New Roman" w:cs="Times New Roman"/>
        </w:rPr>
        <w:fldChar w:fldCharType="begin"/>
      </w:r>
      <w:r w:rsidR="00E71605">
        <w:rPr>
          <w:rFonts w:ascii="Times New Roman" w:eastAsia="Times New Roman" w:hAnsi="Times New Roman" w:cs="Times New Roman"/>
        </w:rPr>
        <w:instrText xml:space="preserve"> ADDIN ZOTERO_ITEM CSL_CITATION {"citationID":"1wbiBISo","properties":{"formattedCitation":"\\super 13\\nosupersub{}","plainCitation":"13","noteIndex":0},"citationItems":[{"id":838,"uris":["http://zotero.org/users/878981/items/IYYXVTVI"],"uri":["http://zotero.org/users/878981/items/IYYXVTVI"],"itemData":{"id":838,"type":"article-journal","container-title":"Diversity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EM"}],"issued":{"date-parts":[["2019"]]}}}],"schema":"https://github.com/citation-style-language/schema/raw/master/csl-citation.json"} </w:instrText>
      </w:r>
      <w:r w:rsidR="00E71605">
        <w:rPr>
          <w:rFonts w:ascii="Times New Roman" w:eastAsia="Times New Roman" w:hAnsi="Times New Roman" w:cs="Times New Roman"/>
        </w:rPr>
        <w:fldChar w:fldCharType="separate"/>
      </w:r>
      <w:r w:rsidR="00E71605" w:rsidRPr="00E71605">
        <w:rPr>
          <w:rFonts w:ascii="Times New Roman" w:hAnsi="Times New Roman" w:cs="Times New Roman"/>
          <w:vertAlign w:val="superscript"/>
        </w:rPr>
        <w:t>13</w:t>
      </w:r>
      <w:r w:rsidR="00E71605">
        <w:rPr>
          <w:rFonts w:ascii="Times New Roman" w:eastAsia="Times New Roman" w:hAnsi="Times New Roman" w:cs="Times New Roman"/>
        </w:rPr>
        <w:fldChar w:fldCharType="end"/>
      </w:r>
      <w:r>
        <w:rPr>
          <w:rFonts w:ascii="Times New Roman" w:eastAsia="Times New Roman" w:hAnsi="Times New Roman" w:cs="Times New Roman"/>
          <w:color w:val="000000"/>
        </w:rPr>
        <w:t>. Thus, to make effective use of limit</w:t>
      </w:r>
      <w:r>
        <w:rPr>
          <w:rFonts w:ascii="Times New Roman" w:eastAsia="Times New Roman" w:hAnsi="Times New Roman" w:cs="Times New Roman"/>
          <w:color w:val="000000"/>
        </w:rPr>
        <w:t>ed conservation resources, planning for investment in protected areas must account for these risks</w:t>
      </w:r>
      <w:r w:rsidR="00624D59">
        <w:rPr>
          <w:rFonts w:ascii="Times New Roman" w:eastAsia="Times New Roman" w:hAnsi="Times New Roman" w:cs="Times New Roman"/>
          <w:color w:val="000000"/>
        </w:rPr>
        <w:fldChar w:fldCharType="begin"/>
      </w:r>
      <w:r w:rsidR="00E9280A">
        <w:rPr>
          <w:rFonts w:ascii="Times New Roman" w:eastAsia="Times New Roman" w:hAnsi="Times New Roman" w:cs="Times New Roman"/>
          <w:color w:val="000000"/>
        </w:rPr>
        <w:instrText xml:space="preserve"> ADDIN ZOTERO_ITEM CSL_CITATION {"citationID":"PrZtUxhJ","properties":{"formattedCitation":"\\super 14,15\\nosupersub{}","plainCitation":"14,15","noteIndex":0},"citationItems":[{"id":1110,"uris":["http://zotero.org/users/878981/items/LM9WKTT8"],"uri":["http://zotero.org/users/878981/items/LM9WKTT8"],"itemData":{"id":1110,"type":"article-journal","container-title":"Conservation Biology","issue":"6","note":"publisher: Wiley Online Library\nCitation Key: mcbride2007incorporating","page":"1463-1474","title":"Incorporating the effects of socioeconomic uncertainty into priority setting for conservation investment","volume":"21","author":[{"family":"McBride","given":"Marissa F"},{"family":"Wilson","given":"Kerrie A"},{"family":"Bode","given":"Michael"},{"family":"Possingham","given":"Hugh P"}],"issued":{"date-parts":[["2007"]]}}},{"id":808,"uris":["http://zotero.org/users/878981/items/MRLAXNU6"],"uri":["http://zotero.org/users/878981/items/MRLAXNU6"],"itemData":{"id":808,"type":"article-journal","container-title":"Journal of applied ecology","issue":"3","note":"publisher: Wiley Online Library","page":"703–713","source":"Google Scholar","title":"Shifting protected areas: scheduling spatial priorities under climate change","title-short":"Shifting protected areas","volume":"51","author":[{"family":"Alagador","given":"Diogo"},{"family":"Cerdeira","given":"Jorge Orestes"},{"family":"Araújo","given":"Miguel Bastos"}],"issued":{"date-parts":[["2014"]]}}}],"schema":"https://github.com/citation-style-language/schema/raw/master/csl-citation.json"} </w:instrText>
      </w:r>
      <w:r w:rsidR="00624D59">
        <w:rPr>
          <w:rFonts w:ascii="Times New Roman" w:eastAsia="Times New Roman" w:hAnsi="Times New Roman" w:cs="Times New Roman"/>
          <w:color w:val="000000"/>
        </w:rPr>
        <w:fldChar w:fldCharType="separate"/>
      </w:r>
      <w:r w:rsidR="00E9280A" w:rsidRPr="00E9280A">
        <w:rPr>
          <w:rFonts w:ascii="Times New Roman" w:hAnsi="Times New Roman" w:cs="Times New Roman"/>
          <w:vertAlign w:val="superscript"/>
        </w:rPr>
        <w:t>14,15</w:t>
      </w:r>
      <w:r w:rsidR="00624D5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Pr>
          <w:rFonts w:ascii="Times New Roman" w:eastAsia="Times New Roman" w:hAnsi="Times New Roman" w:cs="Times New Roman"/>
        </w:rPr>
        <w:t>Here we</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demonstrate </w:t>
      </w:r>
      <w:r>
        <w:rPr>
          <w:rFonts w:ascii="Times New Roman" w:eastAsia="Times New Roman" w:hAnsi="Times New Roman" w:cs="Times New Roman"/>
          <w:color w:val="000000"/>
        </w:rPr>
        <w:t>how accounting for governance, land-use, and climate risks can influence decisions for establishing protected areas at a global sca</w:t>
      </w:r>
      <w:r>
        <w:rPr>
          <w:rFonts w:ascii="Times New Roman" w:eastAsia="Times New Roman" w:hAnsi="Times New Roman" w:cs="Times New Roman"/>
          <w:color w:val="000000"/>
        </w:rPr>
        <w:t>le</w:t>
      </w:r>
      <w:r>
        <w:rPr>
          <w:rFonts w:ascii="Times New Roman" w:eastAsia="Times New Roman" w:hAnsi="Times New Roman" w:cs="Times New Roman"/>
        </w:rPr>
        <w:t xml:space="preserve"> and may ultimately improve the resilience of protected areas and the species they support. The risks we consider here represent unstoppable risks that are best avoided, which stand in contrast to stoppable risks that can be abated through effective prot</w:t>
      </w:r>
      <w:r>
        <w:rPr>
          <w:rFonts w:ascii="Times New Roman" w:eastAsia="Times New Roman" w:hAnsi="Times New Roman" w:cs="Times New Roman"/>
        </w:rPr>
        <w:t>ected areas management alone</w:t>
      </w:r>
      <w:r w:rsidR="009C6E13">
        <w:rPr>
          <w:rFonts w:ascii="Times New Roman" w:eastAsia="Times New Roman" w:hAnsi="Times New Roman" w:cs="Times New Roman"/>
        </w:rPr>
        <w:fldChar w:fldCharType="begin"/>
      </w:r>
      <w:r w:rsidR="009C6E13">
        <w:rPr>
          <w:rFonts w:ascii="Times New Roman" w:eastAsia="Times New Roman" w:hAnsi="Times New Roman" w:cs="Times New Roman"/>
        </w:rPr>
        <w:instrText xml:space="preserve"> ADDIN ZOTERO_ITEM CSL_CITATION {"citationID":"GfdYbbMA","properties":{"formattedCitation":"\\super 16,17\\nosupersub{}","plainCitation":"16,17","noteIndex":0},"citationItems":[{"id":2870,"uris":["http://zotero.org/users/878981/items/NIPV4AA3"],"uri":["http://zotero.org/users/878981/items/NIPV4AA3"],"itemData":{"id":2870,"type":"article-journal","abstract":"Incentivized debt conversion is a financing mechanism that can assist countries with a heavy debt burden to bolster their long-term domestic investment in nature conservation. The Nature Conservancy, an international conservation-based nongovernmental organization, is adapting debt conversions to support marine conservation efforts by small island developing states and coastal countries. Prioritizing debt conversion opportunities according to their potential return on investment can increase the impact and effectiveness of this finance mechanism. We developed guidance on how to do so with a decision-support approach that relies on a novel threat-based adaptation of cost-effectiveness analysis. We constructed scenarios by varying parameters of the approach, including enabling conditions, expected benefits, and threat classifications. Incorporating both abatable and unabatable threats affected priorities across planning scenarios. Similarly, differences in scenario construction resulted in unique solution sets for top priorities. We show how environmental organizations, private entities, and investment banks can adopt structured prioritization frameworks for making decisions about conservation finance investments, such as debt conversions. Our guidance can accommodate a suite of social, ecological, and economic considerations, making the approach broadly applicable to other conservation finance mechanisms or investment strategies that seek to establish a transparent process for return-on-investment decision-making.","container-title":"Conservation Biology","DOI":"https://doi.org/10.1111/cobi.13540","ISSN":"1523-1739","issue":"5","language":"en","note":"_eprint: https://conbio.onlinelibrary.wiley.com/doi/pdf/10.1111/cobi.13540","page":"1065-1075","source":"Wiley Online Library","title":"Prioritizing debt conversion opportunities for marine conservation","volume":"34","author":[{"family":"McGowan","given":"Jennifer"},{"family":"Weary","given":"Rob"},{"family":"Carriere","given":"Leah"},{"family":"Game","given":"Edward T."},{"family":"Smith","given":"Joanna L."},{"family":"Garvey","given":"Melissa"},{"family":"Possingham","given":"Hugh P."}],"issued":{"date-parts":[["2020"]]}}},{"id":2873,"uris":["http://zotero.org/users/878981/items/5XEJEFE4"],"uri":["http://zotero.org/users/878981/items/5XEJEFE4"],"itemData":{"id":2873,"type":"article-journal","abstract":"Marine protected areas (MPAs) are a critical defense against biodiversity loss in the world's oceans, but to realize near-term conservation benefits, they must be established where major threats to biodiversity occur and can be mitigated. We quantified the degree to which MPA establishment has targeted stoppable threats (i.e., threats that can be abated through effectively managed MPAs alone) by combining spatially explicit marine biodiversity threat data in 2008 and 2013 and information on the location and potential of MPAs to halt threats. We calculated an impact metric to determine whether countries are protecting proportionally more high- or low-threat ecoregions and compared observed values with random protected-area allocation. We found that protection covered &lt;2% of ecoregions in national waters with high levels of abatable threat in 2013, which is </w:instrText>
      </w:r>
      <w:r w:rsidR="009C6E13">
        <w:rPr>
          <w:rFonts w:ascii="Cambria Math" w:eastAsia="Times New Roman" w:hAnsi="Cambria Math" w:cs="Cambria Math"/>
        </w:rPr>
        <w:instrText>∼</w:instrText>
      </w:r>
      <w:r w:rsidR="009C6E13">
        <w:rPr>
          <w:rFonts w:ascii="Times New Roman" w:eastAsia="Times New Roman" w:hAnsi="Times New Roman" w:cs="Times New Roman"/>
        </w:rPr>
        <w:instrText xml:space="preserve">59% less protection in high-threat areas than if MPAs had been placed randomly. Relatively low-threat ecoregions had 6.3 times more strict protection (International Union for Conservation of Nature categories I–II) than high-threat ecoregions. Thirty-one ecoregions had high levels of stoppable threat but very low protection, which presents opportunities for MPAs to yield more significant near-term conservation benefits. The extent of the global MPA estate has increased, but the establishment of MPAs where they can reduce threats that are driving biodiversity loss is now urgently needed.","container-title":"Conservation Biology","DOI":"https://doi.org/10.1111/cobi.13340","ISSN":"1523-1739","issue":"6","language":"en","note":"_eprint: https://conbio.onlinelibrary.wiley.com/doi/pdf/10.1111/cobi.13340","page":"1350-1359","source":"Wiley Online Library","title":"Quantifying biases in marine-protected-area placement relative to abatable threats","volume":"33","author":[{"family":"Kuempel","given":"Caitlin D."},{"family":"Jones","given":"Kendall R."},{"family":"Watson","given":"James E. M."},{"family":"Possingham","given":"Hugh P."}],"issued":{"date-parts":[["2019"]]}}}],"schema":"https://github.com/citation-style-language/schema/raw/master/csl-citation.json"} </w:instrText>
      </w:r>
      <w:r w:rsidR="009C6E13">
        <w:rPr>
          <w:rFonts w:ascii="Times New Roman" w:eastAsia="Times New Roman" w:hAnsi="Times New Roman" w:cs="Times New Roman"/>
        </w:rPr>
        <w:fldChar w:fldCharType="separate"/>
      </w:r>
      <w:r w:rsidR="009C6E13" w:rsidRPr="009C6E13">
        <w:rPr>
          <w:rFonts w:ascii="Times New Roman" w:hAnsi="Times New Roman" w:cs="Times New Roman"/>
          <w:vertAlign w:val="superscript"/>
        </w:rPr>
        <w:t>16,17</w:t>
      </w:r>
      <w:r w:rsidR="009C6E13">
        <w:rPr>
          <w:rFonts w:ascii="Times New Roman" w:eastAsia="Times New Roman" w:hAnsi="Times New Roman" w:cs="Times New Roman"/>
        </w:rPr>
        <w:fldChar w:fldCharType="end"/>
      </w:r>
      <w:r>
        <w:rPr>
          <w:rFonts w:ascii="Times New Roman" w:eastAsia="Times New Roman" w:hAnsi="Times New Roman" w:cs="Times New Roman"/>
        </w:rPr>
        <w:t>.</w:t>
      </w:r>
    </w:p>
    <w:p w14:paraId="0DD3475F" w14:textId="77777777" w:rsidR="00355FC1" w:rsidRDefault="00355FC1">
      <w:pPr>
        <w:spacing w:line="480" w:lineRule="auto"/>
        <w:rPr>
          <w:rFonts w:ascii="Times New Roman" w:eastAsia="Times New Roman" w:hAnsi="Times New Roman" w:cs="Times New Roman"/>
        </w:rPr>
      </w:pPr>
    </w:p>
    <w:p w14:paraId="7D65BC68" w14:textId="078EBD2F"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We defined the following three broad categories of risk, which we considered to be factors</w:t>
      </w:r>
      <w:r>
        <w:rPr>
          <w:rFonts w:ascii="Times New Roman" w:eastAsia="Times New Roman" w:hAnsi="Times New Roman" w:cs="Times New Roman"/>
        </w:rPr>
        <w:t xml:space="preserve"> likely to diminish the long-term effectiveness of protected areas: (i) governance, (ii) land-use, and (iii) climate. For govern</w:t>
      </w:r>
      <w:r>
        <w:rPr>
          <w:rFonts w:ascii="Times New Roman" w:eastAsia="Times New Roman" w:hAnsi="Times New Roman" w:cs="Times New Roman"/>
        </w:rPr>
        <w:t>ance risk, we used a national-scale metric that combines six governance indicators from the World Bank</w:t>
      </w:r>
      <w:r w:rsidR="00047604">
        <w:rPr>
          <w:rFonts w:ascii="Times New Roman" w:eastAsia="Times New Roman" w:hAnsi="Times New Roman" w:cs="Times New Roman"/>
        </w:rPr>
        <w:fldChar w:fldCharType="begin"/>
      </w:r>
      <w:r w:rsidR="00047604">
        <w:rPr>
          <w:rFonts w:ascii="Times New Roman" w:eastAsia="Times New Roman" w:hAnsi="Times New Roman" w:cs="Times New Roman"/>
        </w:rPr>
        <w:instrText xml:space="preserve"> ADDIN ZOTERO_ITEM CSL_CITATION {"citationID":"0mrBw7BK","properties":{"formattedCitation":"\\super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047604">
        <w:rPr>
          <w:rFonts w:ascii="Times New Roman" w:eastAsia="Times New Roman" w:hAnsi="Times New Roman" w:cs="Times New Roman"/>
        </w:rPr>
        <w:fldChar w:fldCharType="separate"/>
      </w:r>
      <w:r w:rsidR="00047604" w:rsidRPr="00047604">
        <w:rPr>
          <w:rFonts w:ascii="Times New Roman" w:hAnsi="Times New Roman" w:cs="Times New Roman"/>
          <w:vertAlign w:val="superscript"/>
        </w:rPr>
        <w:t>18</w:t>
      </w:r>
      <w:r w:rsidR="00047604">
        <w:rPr>
          <w:rFonts w:ascii="Times New Roman" w:eastAsia="Times New Roman" w:hAnsi="Times New Roman" w:cs="Times New Roman"/>
        </w:rPr>
        <w:fldChar w:fldCharType="end"/>
      </w:r>
      <w:r>
        <w:rPr>
          <w:rFonts w:ascii="Times New Roman" w:eastAsia="Times New Roman" w:hAnsi="Times New Roman" w:cs="Times New Roman"/>
        </w:rPr>
        <w:t>: accountability, political stability, government effectiveness, regulatory quality, rule of law, and control of corruption (Figure S1). For land-use ri</w:t>
      </w:r>
      <w:r>
        <w:rPr>
          <w:rFonts w:ascii="Times New Roman" w:eastAsia="Times New Roman" w:hAnsi="Times New Roman" w:cs="Times New Roman"/>
        </w:rPr>
        <w:t>sk, we estimated the average change in biodiversity per land-use category using methods</w:t>
      </w:r>
      <w:r w:rsidR="00C85176">
        <w:rPr>
          <w:rFonts w:ascii="Times New Roman" w:eastAsia="Times New Roman" w:hAnsi="Times New Roman" w:cs="Times New Roman"/>
        </w:rPr>
        <w:fldChar w:fldCharType="begin"/>
      </w:r>
      <w:r w:rsidR="00C85176">
        <w:rPr>
          <w:rFonts w:ascii="Times New Roman" w:eastAsia="Times New Roman" w:hAnsi="Times New Roman" w:cs="Times New Roman"/>
        </w:rPr>
        <w:instrText xml:space="preserve"> ADDIN ZOTERO_ITEM CSL_CITATION {"citationID":"ozug8wSC","properties":{"formattedCitation":"\\super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85176">
        <w:rPr>
          <w:rFonts w:ascii="Times New Roman" w:eastAsia="Times New Roman" w:hAnsi="Times New Roman" w:cs="Times New Roman"/>
        </w:rPr>
        <w:fldChar w:fldCharType="separate"/>
      </w:r>
      <w:r w:rsidR="00C85176" w:rsidRPr="00C85176">
        <w:rPr>
          <w:rFonts w:ascii="Times New Roman" w:hAnsi="Times New Roman" w:cs="Times New Roman"/>
          <w:vertAlign w:val="superscript"/>
        </w:rPr>
        <w:t>19</w:t>
      </w:r>
      <w:r w:rsidR="00C85176">
        <w:rPr>
          <w:rFonts w:ascii="Times New Roman" w:eastAsia="Times New Roman" w:hAnsi="Times New Roman" w:cs="Times New Roman"/>
        </w:rPr>
        <w:fldChar w:fldCharType="end"/>
      </w:r>
      <w:r>
        <w:rPr>
          <w:rFonts w:ascii="Times New Roman" w:eastAsia="Times New Roman" w:hAnsi="Times New Roman" w:cs="Times New Roman"/>
        </w:rPr>
        <w:t xml:space="preserve"> that model the risk of biodiversity loss for land systems due to agricultural expansion and intensification (Figure S2). For climate risk, we used the duration of ext</w:t>
      </w:r>
      <w:r>
        <w:rPr>
          <w:rFonts w:ascii="Times New Roman" w:eastAsia="Times New Roman" w:hAnsi="Times New Roman" w:cs="Times New Roman"/>
        </w:rPr>
        <w:t>reme heat events, calculated using a probabilistic framework that estimates the novelty of temperatures relative to historical year-to-year variation from 1979 to 2019 (Figure S3), identifying areas where heat events are likely to have the most significant</w:t>
      </w:r>
      <w:r>
        <w:rPr>
          <w:rFonts w:ascii="Times New Roman" w:eastAsia="Times New Roman" w:hAnsi="Times New Roman" w:cs="Times New Roman"/>
        </w:rPr>
        <w:t xml:space="preserve"> effects on biodiversity</w:t>
      </w:r>
      <w:r w:rsidR="009A038B">
        <w:rPr>
          <w:rFonts w:ascii="Times New Roman" w:eastAsia="Times New Roman" w:hAnsi="Times New Roman" w:cs="Times New Roman"/>
        </w:rPr>
        <w:fldChar w:fldCharType="begin"/>
      </w:r>
      <w:r w:rsidR="009A038B">
        <w:rPr>
          <w:rFonts w:ascii="Times New Roman" w:eastAsia="Times New Roman" w:hAnsi="Times New Roman" w:cs="Times New Roman"/>
        </w:rPr>
        <w:instrText xml:space="preserve"> ADDIN ZOTERO_ITEM CSL_CITATION {"citationID":"N5Z8lPgp","properties":{"formattedCitation":"\\super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A"},{"family":"Johnston","given":"Alison"}]}}],"schema":"https://github.com/citation-style-language/schema/raw/master/csl-citation.json"} </w:instrText>
      </w:r>
      <w:r w:rsidR="009A038B">
        <w:rPr>
          <w:rFonts w:ascii="Times New Roman" w:eastAsia="Times New Roman" w:hAnsi="Times New Roman" w:cs="Times New Roman"/>
        </w:rPr>
        <w:fldChar w:fldCharType="separate"/>
      </w:r>
      <w:r w:rsidR="009A038B" w:rsidRPr="009A038B">
        <w:rPr>
          <w:rFonts w:ascii="Times New Roman" w:hAnsi="Times New Roman" w:cs="Times New Roman"/>
          <w:vertAlign w:val="superscript"/>
        </w:rPr>
        <w:t>20</w:t>
      </w:r>
      <w:r w:rsidR="009A038B">
        <w:rPr>
          <w:rFonts w:ascii="Times New Roman" w:eastAsia="Times New Roman" w:hAnsi="Times New Roman" w:cs="Times New Roman"/>
        </w:rPr>
        <w:fldChar w:fldCharType="end"/>
      </w:r>
      <w:r>
        <w:rPr>
          <w:rFonts w:ascii="Times New Roman" w:eastAsia="Times New Roman" w:hAnsi="Times New Roman" w:cs="Times New Roman"/>
        </w:rPr>
        <w:t>. Although we used these three risk categories for illustrative purposes, the approach we propose is flexible and can easily incorporate other risk metrics too</w:t>
      </w:r>
      <w:r w:rsidR="00D01E10">
        <w:rPr>
          <w:rFonts w:ascii="Times New Roman" w:eastAsia="Times New Roman" w:hAnsi="Times New Roman" w:cs="Times New Roman"/>
        </w:rPr>
        <w:fldChar w:fldCharType="begin"/>
      </w:r>
      <w:r w:rsidR="00D01E10">
        <w:rPr>
          <w:rFonts w:ascii="Times New Roman" w:eastAsia="Times New Roman" w:hAnsi="Times New Roman" w:cs="Times New Roman"/>
        </w:rPr>
        <w:instrText xml:space="preserve"> ADDIN ZOTERO_ITEM CSL_CITATION {"citationID":"EzKnnsN5","properties":{"formattedCitation":"\\super 21\\nosupersub{}","plainCitation":"21","noteIndex":0},"citationItems":[{"id":877,"uris":["http://zotero.org/users/878981/items/AMMZNZ6E"],"uri":["http://zotero.org/users/878981/items/AMMZNZ6E"],"itemData":{"id":877,"type":"article-journal","container-title":"Science","issue":"6183","page":"1247579","source":"Google Scholar","title":"Multiple dimensions of climate change and their implications for biodiversity","volume":"344","author":[{"family":"Garcia","given":"Raquel A."},{"family":"Cabeza","given":"Mar"},{"family":"Rahbek","given":"Carsten"},{"family":"Araújo","given":"Miguel B."}],"issued":{"date-parts":[["2014"]]}}}],"schema":"https://github.com/citation-style-language/schema/raw/master/csl-citation.json"} </w:instrText>
      </w:r>
      <w:r w:rsidR="00D01E10">
        <w:rPr>
          <w:rFonts w:ascii="Times New Roman" w:eastAsia="Times New Roman" w:hAnsi="Times New Roman" w:cs="Times New Roman"/>
        </w:rPr>
        <w:fldChar w:fldCharType="separate"/>
      </w:r>
      <w:r w:rsidR="00D01E10" w:rsidRPr="00D01E10">
        <w:rPr>
          <w:rFonts w:ascii="Times New Roman" w:hAnsi="Times New Roman" w:cs="Times New Roman"/>
          <w:vertAlign w:val="superscript"/>
        </w:rPr>
        <w:t>21</w:t>
      </w:r>
      <w:r w:rsidR="00D01E10">
        <w:rPr>
          <w:rFonts w:ascii="Times New Roman" w:eastAsia="Times New Roman" w:hAnsi="Times New Roman" w:cs="Times New Roman"/>
        </w:rPr>
        <w:fldChar w:fldCharType="end"/>
      </w:r>
      <w:r>
        <w:rPr>
          <w:rFonts w:ascii="Times New Roman" w:eastAsia="Times New Roman" w:hAnsi="Times New Roman" w:cs="Times New Roman"/>
        </w:rPr>
        <w:t>.</w:t>
      </w:r>
    </w:p>
    <w:p w14:paraId="42F9EB20" w14:textId="0AC1CAD1"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We considered the influence of risk categories on allocating prote</w:t>
      </w:r>
      <w:r>
        <w:rPr>
          <w:rFonts w:ascii="Times New Roman" w:eastAsia="Times New Roman" w:hAnsi="Times New Roman" w:cs="Times New Roman"/>
        </w:rPr>
        <w:t>ction decisions at a global scale for all 30,930 known distributions of vertebrate species from the IUCN Red List of Threatened Species</w:t>
      </w:r>
      <w:r w:rsidR="00566B7E">
        <w:rPr>
          <w:rFonts w:ascii="Times New Roman" w:eastAsia="Times New Roman" w:hAnsi="Times New Roman" w:cs="Times New Roman"/>
        </w:rPr>
        <w:fldChar w:fldCharType="begin"/>
      </w:r>
      <w:r w:rsidR="00566B7E">
        <w:rPr>
          <w:rFonts w:ascii="Times New Roman" w:eastAsia="Times New Roman" w:hAnsi="Times New Roman" w:cs="Times New Roman"/>
        </w:rPr>
        <w:instrText xml:space="preserve"> ADDIN ZOTERO_ITEM CSL_CITATION {"citationID":"yks1DpJR","properties":{"formattedCitation":"\\super 22\\nosupersub{}","plainCitation":"22","noteIndex":0},"citationItems":[{"id":811,"uris":["http://zotero.org/users/878981/items/MVE7WELB"],"uri":["http://zotero.org/users/878981/items/MVE7WELB"],"itemData":{"id":811,"type":"article","title":"The IUCN Red List of Threatened Species. version 1.18","URL":"https://www.iucnredlist.org/","author":[{"family":"IUCN","given":""}],"accessed":{"date-parts":[["2019",10,10]]},"issued":{"date-parts":[["2019"]]}}}],"schema":"https://github.com/citation-style-language/schema/raw/master/csl-citation.json"} </w:instrText>
      </w:r>
      <w:r w:rsidR="00566B7E">
        <w:rPr>
          <w:rFonts w:ascii="Times New Roman" w:eastAsia="Times New Roman" w:hAnsi="Times New Roman" w:cs="Times New Roman"/>
        </w:rPr>
        <w:fldChar w:fldCharType="separate"/>
      </w:r>
      <w:r w:rsidR="00566B7E" w:rsidRPr="00566B7E">
        <w:rPr>
          <w:rFonts w:ascii="Times New Roman" w:hAnsi="Times New Roman" w:cs="Times New Roman"/>
          <w:vertAlign w:val="superscript"/>
        </w:rPr>
        <w:t>22</w:t>
      </w:r>
      <w:r w:rsidR="00566B7E">
        <w:rPr>
          <w:rFonts w:ascii="Times New Roman" w:eastAsia="Times New Roman" w:hAnsi="Times New Roman" w:cs="Times New Roman"/>
        </w:rPr>
        <w:fldChar w:fldCharType="end"/>
      </w:r>
      <w:r>
        <w:rPr>
          <w:rFonts w:ascii="Times New Roman" w:eastAsia="Times New Roman" w:hAnsi="Times New Roman" w:cs="Times New Roman"/>
        </w:rPr>
        <w:t xml:space="preserve"> using a multi-objective optimization approach. To incorporate risk categories, we built on a </w:t>
      </w:r>
      <w:r>
        <w:rPr>
          <w:rFonts w:ascii="Times New Roman" w:eastAsia="Times New Roman" w:hAnsi="Times New Roman" w:cs="Times New Roman"/>
        </w:rPr>
        <w:lastRenderedPageBreak/>
        <w:t>classical problem formula</w:t>
      </w:r>
      <w:r>
        <w:rPr>
          <w:rFonts w:ascii="Times New Roman" w:eastAsia="Times New Roman" w:hAnsi="Times New Roman" w:cs="Times New Roman"/>
        </w:rPr>
        <w:t>tion from the systematic conservation planning literature – the minimum set problem - where the objective is to reach species distribution protection targets, while accounting for one constraint such as land cost or area</w:t>
      </w:r>
      <w:r w:rsidR="0093658F">
        <w:rPr>
          <w:rFonts w:ascii="Times New Roman" w:eastAsia="Times New Roman" w:hAnsi="Times New Roman" w:cs="Times New Roman"/>
        </w:rPr>
        <w:fldChar w:fldCharType="begin"/>
      </w:r>
      <w:r w:rsidR="0093658F">
        <w:rPr>
          <w:rFonts w:ascii="Times New Roman" w:eastAsia="Times New Roman" w:hAnsi="Times New Roman" w:cs="Times New Roman"/>
        </w:rPr>
        <w:instrText xml:space="preserve"> ADDIN ZOTERO_ITEM CSL_CITATION {"citationID":"8VIhrc6K","properties":{"formattedCitation":"\\super 23\\uc0\\u8211{}25\\nosupersub{}","plainCitation":"23–25","noteIndex":0},"citationItems":[{"id":125,"uris":["http://zotero.org/users/878981/items/4PNTRNFR"],"uri":["http://zotero.org/users/878981/items/4PNTRNFR"],"itemData":{"id":125,"type":"article-journal","abstract":"The realization of conservation goals requires strategies for managing whole landscapes including areas allocated to both production and protection. Reserves alone are not adequate for nature conservation but they are the cornerstone on which regional strategies are built. Reserves have two main roles. They should sample or represent the biodiversity of each region and they should separate this biodiversity from processes that threaten its persistence. Existing reserve systems throughout the world contain a biased sample of biodiversity, usually that of remote places and other areas that are unsuitable for commercial activities. A more systematic approach to locating and designing reserves has been evolving and this approach will need to be implemented if a large proportion of today's biodiversity is to exist in a future of increasing numbers of people and their demands on natural resources.","container-title":"Nature","DOI":"10.1038/35012251","ISSN":"0028-0836","issue":"6783","note":"PMID: 10821285\nCitation Key: Margules2000","page":"243-53","title":"Systematic conservation planning.","volume":"405","author":[{"family":"Margules","given":"C R"},{"family":"Pressey","given":"R L"}],"issued":{"date-parts":[["2000",5]]}}},{"id":833,"uris":["http://zotero.org/users/878981/items/GQQSSC7Z"],"uri":["http://zotero.org/users/878981/items/GQQSSC7Z"],"itemData":{"id":833,"type":"book","publisher":"Oxford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id":909,"uris":["http://zotero.org/users/878981/items/HRZ9EATX"],"uri":["http://zotero.org/users/878981/items/HRZ9EATX"],"itemData":{"id":909,"type":"chapter","container-title":"Spatial conservation prioritisation: Quantitative methods and computational tools.","event-place":"Oxford","note":"Citation Key: Ball2009\nissue: 14","page":"185-195","publisher":"Oxford University Press","publisher-place":"Oxford","title":"Marxan and relatives: Software for spatial conservation prioritisation.","author":[{"family":"Ball","given":"I.R. R"},{"family":"Possingham","given":"H.P. P"},{"family":"Watts","given":"M.E. E"}],"editor":[{"family":"Moilanen","given":"A"},{"family":"Wilson","given":"K"},{"family":"Possingham","given":"H P"}],"issued":{"date-parts":[["2009"]]}}}],"schema":"https://github.com/citation-style-language/schema/raw/master/csl-citation.json"} </w:instrText>
      </w:r>
      <w:r w:rsidR="0093658F">
        <w:rPr>
          <w:rFonts w:ascii="Times New Roman" w:eastAsia="Times New Roman" w:hAnsi="Times New Roman" w:cs="Times New Roman"/>
        </w:rPr>
        <w:fldChar w:fldCharType="separate"/>
      </w:r>
      <w:r w:rsidR="0093658F" w:rsidRPr="0093658F">
        <w:rPr>
          <w:rFonts w:ascii="Times New Roman" w:hAnsi="Times New Roman" w:cs="Times New Roman"/>
          <w:vertAlign w:val="superscript"/>
        </w:rPr>
        <w:t>23–25</w:t>
      </w:r>
      <w:r w:rsidR="0093658F">
        <w:rPr>
          <w:rFonts w:ascii="Times New Roman" w:eastAsia="Times New Roman" w:hAnsi="Times New Roman" w:cs="Times New Roman"/>
        </w:rPr>
        <w:fldChar w:fldCharType="end"/>
      </w:r>
      <w:r>
        <w:rPr>
          <w:rFonts w:ascii="Times New Roman" w:eastAsia="Times New Roman" w:hAnsi="Times New Roman" w:cs="Times New Roman"/>
        </w:rPr>
        <w:t>. We expand this approach to in</w:t>
      </w:r>
      <w:r>
        <w:rPr>
          <w:rFonts w:ascii="Times New Roman" w:eastAsia="Times New Roman" w:hAnsi="Times New Roman" w:cs="Times New Roman"/>
        </w:rPr>
        <w:t>clude multiple objectives accounting for varying risk in the problem formulation, by treating each risk layer as a separate objective in the problem formulation</w:t>
      </w:r>
      <w:r w:rsidR="00F80186">
        <w:rPr>
          <w:rFonts w:ascii="Times New Roman" w:eastAsia="Times New Roman" w:hAnsi="Times New Roman" w:cs="Times New Roman"/>
        </w:rPr>
        <w:fldChar w:fldCharType="begin"/>
      </w:r>
      <w:r w:rsidR="00F80186">
        <w:rPr>
          <w:rFonts w:ascii="Times New Roman" w:eastAsia="Times New Roman" w:hAnsi="Times New Roman" w:cs="Times New Roman"/>
        </w:rPr>
        <w:instrText xml:space="preserve"> ADDIN ZOTERO_ITEM CSL_CITATION {"citationID":"dZ7EzymQ","properties":{"formattedCitation":"\\super 26\\nosupersub{}","plainCitation":"26","noteIndex":0},"citationItems":[{"id":832,"uris":["http://zotero.org/users/878981/items/2LYR7F43"],"uri":["http://zotero.org/users/878981/items/2LYR7F43"],"itemData":{"id":832,"type":"chapter","container-title":"Search methodologies","page":"403–449","publisher":"Springer","source":"Google Scholar","title":"Multi-objective optimization","author":[{"family":"Deb","given":"Kalyanmoy"}],"issued":{"date-parts":[["2014"]]}}}],"schema":"https://github.com/citation-style-language/schema/raw/master/csl-citation.json"} </w:instrText>
      </w:r>
      <w:r w:rsidR="00F80186">
        <w:rPr>
          <w:rFonts w:ascii="Times New Roman" w:eastAsia="Times New Roman" w:hAnsi="Times New Roman" w:cs="Times New Roman"/>
        </w:rPr>
        <w:fldChar w:fldCharType="separate"/>
      </w:r>
      <w:r w:rsidR="00F80186" w:rsidRPr="00F80186">
        <w:rPr>
          <w:rFonts w:ascii="Times New Roman" w:hAnsi="Times New Roman" w:cs="Times New Roman"/>
          <w:vertAlign w:val="superscript"/>
        </w:rPr>
        <w:t>26</w:t>
      </w:r>
      <w:r w:rsidR="00F80186">
        <w:rPr>
          <w:rFonts w:ascii="Times New Roman" w:eastAsia="Times New Roman" w:hAnsi="Times New Roman" w:cs="Times New Roman"/>
        </w:rPr>
        <w:fldChar w:fldCharType="end"/>
      </w:r>
      <w:r>
        <w:rPr>
          <w:rFonts w:ascii="Times New Roman" w:eastAsia="Times New Roman" w:hAnsi="Times New Roman" w:cs="Times New Roman"/>
        </w:rPr>
        <w:t xml:space="preserve">. We use a hierarchical approach that assigns a priority to each objective, and optimizes for </w:t>
      </w:r>
      <w:r>
        <w:rPr>
          <w:rFonts w:ascii="Times New Roman" w:eastAsia="Times New Roman" w:hAnsi="Times New Roman" w:cs="Times New Roman"/>
        </w:rPr>
        <w:t>the objectives in decreasing priority order. At each step, the approach finds the best solution for the current objective, but only from among those that would not degrade the solution quality for higher-priority objectives.</w:t>
      </w:r>
    </w:p>
    <w:p w14:paraId="08BE0285" w14:textId="16BC21B6"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In total 16 planning scenarios were created, such that solutions accounted for all possible combinations of risk categories within each hierarchical level (Table S1). We then compared these risk-based solutions to those produced with a null scenario that a</w:t>
      </w:r>
      <w:r>
        <w:rPr>
          <w:rFonts w:ascii="Times New Roman" w:eastAsia="Times New Roman" w:hAnsi="Times New Roman" w:cs="Times New Roman"/>
        </w:rPr>
        <w:t>dopted the traditional area-minimizing approach to optimization without considering risk</w:t>
      </w:r>
      <w:r w:rsidR="00485FCA">
        <w:rPr>
          <w:rFonts w:ascii="Times New Roman" w:eastAsia="Times New Roman" w:hAnsi="Times New Roman" w:cs="Times New Roman"/>
        </w:rPr>
        <w:fldChar w:fldCharType="begin"/>
      </w:r>
      <w:r w:rsidR="00485FCA">
        <w:rPr>
          <w:rFonts w:ascii="Times New Roman" w:eastAsia="Times New Roman" w:hAnsi="Times New Roman" w:cs="Times New Roman"/>
        </w:rPr>
        <w:instrText xml:space="preserve"> ADDIN ZOTERO_ITEM CSL_CITATION {"citationID":"mUfL0SKn","properties":{"formattedCitation":"\\super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485FCA">
        <w:rPr>
          <w:rFonts w:ascii="Times New Roman" w:eastAsia="Times New Roman" w:hAnsi="Times New Roman" w:cs="Times New Roman"/>
        </w:rPr>
        <w:fldChar w:fldCharType="separate"/>
      </w:r>
      <w:r w:rsidR="00485FCA" w:rsidRPr="00485FCA">
        <w:rPr>
          <w:rFonts w:ascii="Times New Roman" w:hAnsi="Times New Roman" w:cs="Times New Roman"/>
          <w:vertAlign w:val="superscript"/>
        </w:rPr>
        <w:t>27</w:t>
      </w:r>
      <w:r w:rsidR="00485FCA">
        <w:rPr>
          <w:rFonts w:ascii="Times New Roman" w:eastAsia="Times New Roman" w:hAnsi="Times New Roman" w:cs="Times New Roman"/>
        </w:rPr>
        <w:fldChar w:fldCharType="end"/>
      </w:r>
      <w:r>
        <w:rPr>
          <w:rFonts w:ascii="Times New Roman" w:eastAsia="Times New Roman" w:hAnsi="Times New Roman" w:cs="Times New Roman"/>
        </w:rPr>
        <w:t>. Because our scenarios aimed to build upon the current protected area portfolio globally, we incorporated current protected areas into our solutions. For each scenar</w:t>
      </w:r>
      <w:r>
        <w:rPr>
          <w:rFonts w:ascii="Times New Roman" w:eastAsia="Times New Roman" w:hAnsi="Times New Roman" w:cs="Times New Roman"/>
        </w:rPr>
        <w:t>io we protected 30% of the range of all vertebrate species, which is broadly analogous to the more general 30% total area Convention on Biological Diversity (CBD) target</w:t>
      </w:r>
      <w:r w:rsidR="005B74A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{"citationID":"PCz8SpOG","properties":{"formattedCitation":"\\super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5B74A9">
        <w:rPr>
          <w:rFonts w:ascii="Times New Roman" w:eastAsia="Times New Roman" w:hAnsi="Times New Roman" w:cs="Times New Roman"/>
        </w:rPr>
        <w:fldChar w:fldCharType="separate"/>
      </w:r>
      <w:r w:rsidR="005B74A9" w:rsidRPr="00485FCA">
        <w:rPr>
          <w:rFonts w:ascii="Times New Roman" w:hAnsi="Times New Roman" w:cs="Times New Roman"/>
          <w:vertAlign w:val="superscript"/>
        </w:rPr>
        <w:t>27</w:t>
      </w:r>
      <w:r w:rsidR="005B74A9">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C735E43" w14:textId="12748034"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Surprisingly, scenarios that incorporated all the three risk categories required o</w:t>
      </w:r>
      <w:r>
        <w:rPr>
          <w:rFonts w:ascii="Times New Roman" w:eastAsia="Times New Roman" w:hAnsi="Times New Roman" w:cs="Times New Roman"/>
        </w:rPr>
        <w:t>nly 0.9% more global area on average (0.34 – 1.14 %) than the null scenario to meet the target of protecting 30% of vertebrate ranges. Thus, accounting for risks cost relatively little compared to the potential gains from selecting a more resilient conserv</w:t>
      </w:r>
      <w:r>
        <w:rPr>
          <w:rFonts w:ascii="Times New Roman" w:eastAsia="Times New Roman" w:hAnsi="Times New Roman" w:cs="Times New Roman"/>
        </w:rPr>
        <w:t>ation network (Figure 1). Notably, the target of protecting 30% of each vertebrate species range was achieved by all 16 scenarios without exceeding the post-2020 CBD target of protecting 30% of global land area</w:t>
      </w:r>
      <w:r w:rsidR="007B52B7">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{"citationID":"tb2SZ3M7","properties":{"formattedCitation":"\\super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7B52B7">
        <w:rPr>
          <w:rFonts w:ascii="Times New Roman" w:eastAsia="Times New Roman" w:hAnsi="Times New Roman" w:cs="Times New Roman"/>
        </w:rPr>
        <w:fldChar w:fldCharType="separate"/>
      </w:r>
      <w:r w:rsidR="007B52B7" w:rsidRPr="00485FCA">
        <w:rPr>
          <w:rFonts w:ascii="Times New Roman" w:hAnsi="Times New Roman" w:cs="Times New Roman"/>
          <w:vertAlign w:val="superscript"/>
        </w:rPr>
        <w:t>27</w:t>
      </w:r>
      <w:r w:rsidR="007B52B7">
        <w:rPr>
          <w:rFonts w:ascii="Times New Roman" w:eastAsia="Times New Roman" w:hAnsi="Times New Roman" w:cs="Times New Roman"/>
        </w:rPr>
        <w:fldChar w:fldCharType="end"/>
      </w:r>
      <w:r>
        <w:rPr>
          <w:rFonts w:ascii="Times New Roman" w:eastAsia="Times New Roman" w:hAnsi="Times New Roman" w:cs="Times New Roman"/>
        </w:rPr>
        <w:t>. When only looking at scenarios that includ</w:t>
      </w:r>
      <w:r>
        <w:rPr>
          <w:rFonts w:ascii="Times New Roman" w:eastAsia="Times New Roman" w:hAnsi="Times New Roman" w:cs="Times New Roman"/>
        </w:rPr>
        <w:t>ed one risk factor, land-use risk forces the greatest increase in global protected area, compared to scenarios only including governance and/or climate extreme risks (Table S1).</w:t>
      </w:r>
    </w:p>
    <w:p w14:paraId="70F42826" w14:textId="4F9A9D2C"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We found that protected areas identified across scenarios overlapped spatiall</w:t>
      </w:r>
      <w:r>
        <w:rPr>
          <w:rFonts w:ascii="Times New Roman" w:eastAsia="Times New Roman" w:hAnsi="Times New Roman" w:cs="Times New Roman"/>
        </w:rPr>
        <w:t>y, with the same 22 million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(6.9% of global land area) being prioritized for expansion of the current protected area </w:t>
      </w:r>
      <w:r>
        <w:rPr>
          <w:rFonts w:ascii="Times New Roman" w:eastAsia="Times New Roman" w:hAnsi="Times New Roman" w:cs="Times New Roman"/>
        </w:rPr>
        <w:lastRenderedPageBreak/>
        <w:t>system in at least eleven scenarios and 3.6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 xml:space="preserve">(2.4% of global land area) in all fifteen risk scenarios (Figure 2). These “no </w:t>
      </w:r>
      <w:r>
        <w:rPr>
          <w:rFonts w:ascii="Times New Roman" w:eastAsia="Times New Roman" w:hAnsi="Times New Roman" w:cs="Times New Roman"/>
        </w:rPr>
        <w:t>regrets” areas provide examples of places that should be immediate priorities for international agencies aiming to maximize the resilience of protected area networks, as they are robust to assumptions of the relative importance of risk factors. Example cou</w:t>
      </w:r>
      <w:r>
        <w:rPr>
          <w:rFonts w:ascii="Times New Roman" w:eastAsia="Times New Roman" w:hAnsi="Times New Roman" w:cs="Times New Roman"/>
        </w:rPr>
        <w:t>ntries that have contiguous areas of high overlap among different scenarios are Canada, Egypt, Finland, Kazakhstan and Peru (Figure S4). There is some overlap among the priorities across scenarios within Conservation International’s global biodiversity hot</w:t>
      </w:r>
      <w:r>
        <w:rPr>
          <w:rFonts w:ascii="Times New Roman" w:eastAsia="Times New Roman" w:hAnsi="Times New Roman" w:cs="Times New Roman"/>
        </w:rPr>
        <w:t>spots</w:t>
      </w:r>
      <w:r w:rsidR="009350D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{"citationID":"Ju3zZkIH","properties":{"formattedCitation":"\\super 28\\nosupersub{}","plainCitation":"28","noteIndex":0},"citationItems":[{"id":855,"uris":["http://zotero.org/users/878981/items/5FSZ9YL2"],"uri":["http://zotero.org/users/878981/items/5FSZ9YL2"],"itemData":{"id":855,"type":"article-journal","abstract":"Conservationists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risk.","container-title":"Nature","DOI":"10.1038/35002501","ISSN":"1476-4687","issue":"6772","language":"en","note":"number: 6772\npublisher: Nature Publishing Group","page":"853-858","source":"www.nature.com","title":"Biodiversity hotspots for conservation priorities","volume":"403","author":[{"family":"Myers","given":"Norman"},{"family":"Mittermeier","given":"Russell A."},{"family":"Mittermeier","given":"Cristina G."},{"family":"Fonseca","given":"Gustavo A. B.","non-dropping-particle":"da"},{"family":"Kent","given":"Jennifer"}],"issued":{"date-parts":[["2000",2]]}}}],"schema":"https://github.com/citation-style-language/schema/raw/master/csl-citation.json"} </w:instrText>
      </w:r>
      <w:r w:rsidR="009350D9">
        <w:rPr>
          <w:rFonts w:ascii="Times New Roman" w:eastAsia="Times New Roman" w:hAnsi="Times New Roman" w:cs="Times New Roman"/>
        </w:rPr>
        <w:fldChar w:fldCharType="separate"/>
      </w:r>
      <w:r w:rsidR="009350D9" w:rsidRPr="009350D9">
        <w:rPr>
          <w:rFonts w:ascii="Times New Roman" w:hAnsi="Times New Roman" w:cs="Times New Roman"/>
          <w:vertAlign w:val="superscript"/>
        </w:rPr>
        <w:t>28</w:t>
      </w:r>
      <w:r w:rsidR="009350D9">
        <w:rPr>
          <w:rFonts w:ascii="Times New Roman" w:eastAsia="Times New Roman" w:hAnsi="Times New Roman" w:cs="Times New Roman"/>
        </w:rPr>
        <w:fldChar w:fldCharType="end"/>
      </w:r>
      <w:r>
        <w:rPr>
          <w:rFonts w:ascii="Times New Roman" w:eastAsia="Times New Roman" w:hAnsi="Times New Roman" w:cs="Times New Roman"/>
        </w:rPr>
        <w:t>, but many high overlap areas lie either outside these hotspots (83.1%) or occur within small portions of the biodiversity hotspots, likely because these areas are important to protect regardless of future risk (Figure S5).</w:t>
      </w:r>
    </w:p>
    <w:p w14:paraId="61B524BA"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also found variation </w:t>
      </w:r>
      <w:r>
        <w:rPr>
          <w:rFonts w:ascii="Times New Roman" w:eastAsia="Times New Roman" w:hAnsi="Times New Roman" w:cs="Times New Roman"/>
        </w:rPr>
        <w:t>in the locations of priorities for protection when risks were introduced (Figure 3; Table S2). These differences were driven largely by governance (Figure S6). Countries with relatively high governance scores had greater area requiring protection under ris</w:t>
      </w:r>
      <w:r>
        <w:rPr>
          <w:rFonts w:ascii="Times New Roman" w:eastAsia="Times New Roman" w:hAnsi="Times New Roman" w:cs="Times New Roman"/>
        </w:rPr>
        <w:t>k scenarios relative to the null scenario, especially when species were wider ranging and when neighbouring countries had low governance scores. Thus, risk is connected across jurisdictions, where planning scenarios favour protection of species in nearby c</w:t>
      </w:r>
      <w:r>
        <w:rPr>
          <w:rFonts w:ascii="Times New Roman" w:eastAsia="Times New Roman" w:hAnsi="Times New Roman" w:cs="Times New Roman"/>
        </w:rPr>
        <w:t>ountries with low governance risk (i.e., high governance scores). For example, many vertebrate species ranges span northeastern Russia, Finland, and Sweden, with one of the most iconic being caribou (</w:t>
      </w:r>
      <w:r>
        <w:rPr>
          <w:rFonts w:ascii="Times New Roman" w:eastAsia="Times New Roman" w:hAnsi="Times New Roman" w:cs="Times New Roman"/>
          <w:i/>
        </w:rPr>
        <w:t>Rangifer tarandus</w:t>
      </w:r>
      <w:r>
        <w:rPr>
          <w:rFonts w:ascii="Times New Roman" w:eastAsia="Times New Roman" w:hAnsi="Times New Roman" w:cs="Times New Roman"/>
        </w:rPr>
        <w:t>), which has an IUCN conservation status of vulnerable.  Because Russia suffers from low scores for ‘voice and accountability, rule of law, and control of corruption’ (Table S3), whereas Finland and Sweden have relatively high governance scores, the scenar</w:t>
      </w:r>
      <w:r>
        <w:rPr>
          <w:rFonts w:ascii="Times New Roman" w:eastAsia="Times New Roman" w:hAnsi="Times New Roman" w:cs="Times New Roman"/>
        </w:rPr>
        <w:t>ios including governance pressures led to a selection of 99.4% and 48.9% of Finland and Sweden’s land areas respectively compared to the null scenario with 30.8% and 15.2% (Figure 4). These results do not mean the majority of land inside Finland needs to b</w:t>
      </w:r>
      <w:r>
        <w:rPr>
          <w:rFonts w:ascii="Times New Roman" w:eastAsia="Times New Roman" w:hAnsi="Times New Roman" w:cs="Times New Roman"/>
        </w:rPr>
        <w:t>e protected to ensure the long-term persistence of caribou, but indicate that prioritizing areas in Sweden and Finland is predicted to be far less of a risk than areas in Russia.</w:t>
      </w:r>
    </w:p>
    <w:p w14:paraId="7D4ED533"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Land-use and climate change also influenced variation in the locations of pr</w:t>
      </w:r>
      <w:r>
        <w:rPr>
          <w:rFonts w:ascii="Times New Roman" w:eastAsia="Times New Roman" w:hAnsi="Times New Roman" w:cs="Times New Roman"/>
        </w:rPr>
        <w:t>iorities for protection compared to the null scenario. For example, large areas of Sierra Leone are experiencing high risk of biodiversity loss due to expanding intensive land-use practices (Fig. S2), whereas this same risk is lower in neighbouring Liberia</w:t>
      </w:r>
      <w:r>
        <w:rPr>
          <w:rFonts w:ascii="Times New Roman" w:eastAsia="Times New Roman" w:hAnsi="Times New Roman" w:cs="Times New Roman"/>
        </w:rPr>
        <w:t>. Scenarios including land-use risk selected 50.1% of the land area in Liberia compared to 21.9% in the null scenario (Figure 4). Large areas of Algeria are experiencing increasingly frequent extreme heat events (Fig. S3), whereas neighbouring Libya is not</w:t>
      </w:r>
      <w:r>
        <w:rPr>
          <w:rFonts w:ascii="Times New Roman" w:eastAsia="Times New Roman" w:hAnsi="Times New Roman" w:cs="Times New Roman"/>
        </w:rPr>
        <w:t xml:space="preserve"> experiencing as many extreme heat events. Scenarios including climate impact risk selected of 30.8% of Libya’s land area compared to the null scenario with 20.9% (Figure 4).</w:t>
      </w:r>
    </w:p>
    <w:p w14:paraId="5455F95E" w14:textId="178B6D51"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These results emphasize the importance of coordinated cross-jurisdictional conse</w:t>
      </w:r>
      <w:r>
        <w:rPr>
          <w:rFonts w:ascii="Times New Roman" w:eastAsia="Times New Roman" w:hAnsi="Times New Roman" w:cs="Times New Roman"/>
        </w:rPr>
        <w:t>rvation planning initiatives</w:t>
      </w:r>
      <w:r w:rsidR="00C661C3">
        <w:rPr>
          <w:rFonts w:ascii="Times New Roman" w:eastAsia="Times New Roman" w:hAnsi="Times New Roman" w:cs="Times New Roman"/>
        </w:rPr>
        <w:fldChar w:fldCharType="begin"/>
      </w:r>
      <w:r w:rsidR="00C661C3">
        <w:rPr>
          <w:rFonts w:ascii="Times New Roman" w:eastAsia="Times New Roman" w:hAnsi="Times New Roman" w:cs="Times New Roman"/>
        </w:rPr>
        <w:instrText xml:space="preserve"> ADDIN ZOTERO_ITEM CSL_CITATION {"citationID":"KbS7jSkc","properties":{"formattedCitation":"\\super 29\\nosupersub{}","plainCitation":"29","noteIndex":0},"citationItems":[{"id":831,"uris":["http://zotero.org/users/878981/items/IJABC9IU"],"uri":["http://zotero.org/users/878981/items/IJABC9IU"],"itemData":{"id":831,"type":"article-journal","container-title":"Trends in Ecology &amp; Evolution","issue":"3","note":"publisher: Elsevier","page":"132–139","source":"Google Scholar","title":"Why socio-political borders and boundaries matter in conservation","volume":"30","author":[{"family":"Dallimer","given":"Martin"},{"family":"Strange","given":"Niels"}],"issued":{"date-parts":[["2015"]]}}}],"schema":"https://github.com/citation-style-language/schema/raw/master/csl-citation.json"} </w:instrText>
      </w:r>
      <w:r w:rsidR="00C661C3">
        <w:rPr>
          <w:rFonts w:ascii="Times New Roman" w:eastAsia="Times New Roman" w:hAnsi="Times New Roman" w:cs="Times New Roman"/>
        </w:rPr>
        <w:fldChar w:fldCharType="separate"/>
      </w:r>
      <w:r w:rsidR="00C661C3" w:rsidRPr="00C661C3">
        <w:rPr>
          <w:rFonts w:ascii="Times New Roman" w:hAnsi="Times New Roman" w:cs="Times New Roman"/>
          <w:vertAlign w:val="superscript"/>
        </w:rPr>
        <w:t>29</w:t>
      </w:r>
      <w:r w:rsidR="00C661C3">
        <w:rPr>
          <w:rFonts w:ascii="Times New Roman" w:eastAsia="Times New Roman" w:hAnsi="Times New Roman" w:cs="Times New Roman"/>
        </w:rPr>
        <w:fldChar w:fldCharType="end"/>
      </w:r>
      <w:r>
        <w:rPr>
          <w:rFonts w:ascii="Times New Roman" w:eastAsia="Times New Roman" w:hAnsi="Times New Roman" w:cs="Times New Roman"/>
        </w:rPr>
        <w:t xml:space="preserve"> and identify countries where opportunities for collaboration would yield more resilient protected area systems. To illustrate this point, we consider the Great Green Macaw (</w:t>
      </w:r>
      <w:r>
        <w:rPr>
          <w:rFonts w:ascii="Times New Roman" w:eastAsia="Times New Roman" w:hAnsi="Times New Roman" w:cs="Times New Roman"/>
          <w:i/>
        </w:rPr>
        <w:t>Ara ambiguus</w:t>
      </w:r>
      <w:r>
        <w:rPr>
          <w:rFonts w:ascii="Times New Roman" w:eastAsia="Times New Roman" w:hAnsi="Times New Roman" w:cs="Times New Roman"/>
        </w:rPr>
        <w:t>), with &lt;2500 individuals remaining</w:t>
      </w:r>
      <w:r w:rsidR="009E53B7">
        <w:rPr>
          <w:rFonts w:ascii="Times New Roman" w:eastAsia="Times New Roman" w:hAnsi="Times New Roman" w:cs="Times New Roman"/>
        </w:rPr>
        <w:fldChar w:fldCharType="begin"/>
      </w:r>
      <w:r w:rsidR="009E53B7">
        <w:rPr>
          <w:rFonts w:ascii="Times New Roman" w:eastAsia="Times New Roman" w:hAnsi="Times New Roman" w:cs="Times New Roman"/>
        </w:rPr>
        <w:instrText xml:space="preserve"> ADDIN ZOTERO_ITEM CSL_CITATION {"citationID":"OnCpEfoj","properties":{"formattedCitation":"\\super 30\\nosupersub{}","plainCitation":"30","noteIndex":0},"citationItems":[{"id":807,"uris":["http://zotero.org/users/878981/items/KQTGE8Z2"],"uri":["http://zotero.org/users/878981/items/KQTGE8Z2"],"itemData":{"id":807,"type":"webpage","abstract":"Established in 1964, the IUCN Red List of Threatened Species has evolved to become the world’s most comprehensive information source on the global conservation status of animal, fungi and plant species.","container-title":"IUCN Red List of Threatened Species","title":"IUCN Red List of Threatened Species: Ara ambiguus","title-short":"IUCN Red List of Threatened Species","URL":"https://www.iucnredlist.org/en","author":[{"family":"International)","given":"BirdLife International (BirdLife"}],"accessed":{"date-parts":[["2020",10,30]]},"issued":{"date-parts":[["2016",10,1]]}}}],"schema":"https://github.com/citation-style-language/schema/raw/master/csl-citation.json"} </w:instrText>
      </w:r>
      <w:r w:rsidR="009E53B7">
        <w:rPr>
          <w:rFonts w:ascii="Times New Roman" w:eastAsia="Times New Roman" w:hAnsi="Times New Roman" w:cs="Times New Roman"/>
        </w:rPr>
        <w:fldChar w:fldCharType="separate"/>
      </w:r>
      <w:r w:rsidR="009E53B7" w:rsidRPr="009E53B7">
        <w:rPr>
          <w:rFonts w:ascii="Times New Roman" w:hAnsi="Times New Roman" w:cs="Times New Roman"/>
          <w:vertAlign w:val="superscript"/>
        </w:rPr>
        <w:t>30</w:t>
      </w:r>
      <w:r w:rsidR="009E53B7">
        <w:rPr>
          <w:rFonts w:ascii="Times New Roman" w:eastAsia="Times New Roman" w:hAnsi="Times New Roman" w:cs="Times New Roman"/>
        </w:rPr>
        <w:fldChar w:fldCharType="end"/>
      </w:r>
      <w:r>
        <w:rPr>
          <w:rFonts w:ascii="Times New Roman" w:eastAsia="Times New Roman" w:hAnsi="Times New Roman" w:cs="Times New Roman"/>
        </w:rPr>
        <w:t xml:space="preserve"> an</w:t>
      </w:r>
      <w:r>
        <w:rPr>
          <w:rFonts w:ascii="Times New Roman" w:eastAsia="Times New Roman" w:hAnsi="Times New Roman" w:cs="Times New Roman"/>
        </w:rPr>
        <w:t>d a range that stretches from southern Honduras to western Colombia. Because Great Green Macaw habitat spans several countries differing in governance, land use, and climate risk, coordinated efforts among countries will be necessary for the species to per</w:t>
      </w:r>
      <w:r>
        <w:rPr>
          <w:rFonts w:ascii="Times New Roman" w:eastAsia="Times New Roman" w:hAnsi="Times New Roman" w:cs="Times New Roman"/>
        </w:rPr>
        <w:t>sist in the future. For countries with a predominance of wide-ranging species whose ranges will be impacted by varying climate, land-use, and governance risk across borders, conservation projects can focus on cooperative governance frameworks</w:t>
      </w:r>
      <w:r w:rsidR="00E9588C">
        <w:rPr>
          <w:rFonts w:ascii="Times New Roman" w:eastAsia="Times New Roman" w:hAnsi="Times New Roman" w:cs="Times New Roman"/>
        </w:rPr>
        <w:fldChar w:fldCharType="begin"/>
      </w:r>
      <w:r w:rsidR="00E9588C">
        <w:rPr>
          <w:rFonts w:ascii="Times New Roman" w:eastAsia="Times New Roman" w:hAnsi="Times New Roman" w:cs="Times New Roman"/>
        </w:rPr>
        <w:instrText xml:space="preserve"> ADDIN ZOTERO_ITEM CSL_CITATION {"citationID":"q5eY1EZL","properties":{"formattedCitation":"\\super 31\\nosupersub{}","plainCitation":"31","noteIndex":0},"citationItems":[{"id":830,"uris":["http://zotero.org/users/878981/items/FKYS6N8W"],"uri":["http://zotero.org/users/878981/items/FKYS6N8W"],"itemData":{"id":830,"type":"article-journal","container-title":"Conservation Science and Practice","issue":"8","note":"publisher: Wiley Online Library","page":"e58","source":"Google Scholar","title":"A framework for improving the cross-jurisdictional governance of a marine migratory species","volume":"1","author":[{"family":"Miller","given":"Rachel L."},{"family":"Marsh","given":"Helene"},{"family":"Benham","given":"Claudia"},{"family":"Hamann","given":"Mark"}],"issued":{"date-parts":[["2019"]]}}}],"schema":"https://github.com/citation-style-language/schema/raw/master/csl-citation.json"} </w:instrText>
      </w:r>
      <w:r w:rsidR="00E9588C">
        <w:rPr>
          <w:rFonts w:ascii="Times New Roman" w:eastAsia="Times New Roman" w:hAnsi="Times New Roman" w:cs="Times New Roman"/>
        </w:rPr>
        <w:fldChar w:fldCharType="separate"/>
      </w:r>
      <w:r w:rsidR="00E9588C" w:rsidRPr="00E9588C">
        <w:rPr>
          <w:rFonts w:ascii="Times New Roman" w:hAnsi="Times New Roman" w:cs="Times New Roman"/>
          <w:vertAlign w:val="superscript"/>
        </w:rPr>
        <w:t>31</w:t>
      </w:r>
      <w:r w:rsidR="00E9588C">
        <w:rPr>
          <w:rFonts w:ascii="Times New Roman" w:eastAsia="Times New Roman" w:hAnsi="Times New Roman" w:cs="Times New Roman"/>
        </w:rPr>
        <w:fldChar w:fldCharType="end"/>
      </w:r>
      <w:r>
        <w:rPr>
          <w:rFonts w:ascii="Times New Roman" w:eastAsia="Times New Roman" w:hAnsi="Times New Roman" w:cs="Times New Roman"/>
        </w:rPr>
        <w:t xml:space="preserve"> (Figure 3).</w:t>
      </w:r>
      <w:r>
        <w:rPr>
          <w:rFonts w:ascii="Times New Roman" w:eastAsia="Times New Roman" w:hAnsi="Times New Roman" w:cs="Times New Roman"/>
        </w:rPr>
        <w:t xml:space="preserve"> These governance frameworks, both within and</w:t>
      </w:r>
      <w:r>
        <w:rPr>
          <w:rFonts w:ascii="Times New Roman" w:eastAsia="Times New Roman" w:hAnsi="Times New Roman" w:cs="Times New Roman"/>
        </w:rPr>
        <w:t xml:space="preserve"> between</w:t>
      </w:r>
      <w:r>
        <w:rPr>
          <w:rFonts w:ascii="Times New Roman" w:eastAsia="Times New Roman" w:hAnsi="Times New Roman" w:cs="Times New Roman"/>
        </w:rPr>
        <w:t xml:space="preserve"> </w:t>
      </w:r>
      <w:r>
        <w:rPr>
          <w:rFonts w:ascii="Times New Roman" w:eastAsia="Times New Roman" w:hAnsi="Times New Roman" w:cs="Times New Roman"/>
        </w:rPr>
        <w:t>countries</w:t>
      </w:r>
      <w:r>
        <w:rPr>
          <w:rFonts w:ascii="Times New Roman" w:eastAsia="Times New Roman" w:hAnsi="Times New Roman" w:cs="Times New Roman"/>
        </w:rPr>
        <w:t xml:space="preserve">, would need to be developed in an </w:t>
      </w:r>
      <w:r>
        <w:rPr>
          <w:rFonts w:ascii="Times New Roman" w:eastAsia="Times New Roman" w:hAnsi="Times New Roman" w:cs="Times New Roman"/>
        </w:rPr>
        <w:t>environmentally just and equitable way</w:t>
      </w:r>
      <w:r>
        <w:rPr>
          <w:rFonts w:ascii="Times New Roman" w:eastAsia="Times New Roman" w:hAnsi="Times New Roman" w:cs="Times New Roman"/>
        </w:rPr>
        <w:t xml:space="preserve"> to deliver </w:t>
      </w:r>
      <w:r>
        <w:rPr>
          <w:rFonts w:ascii="Times New Roman" w:eastAsia="Times New Roman" w:hAnsi="Times New Roman" w:cs="Times New Roman"/>
        </w:rPr>
        <w:t>benefits to biodiversity and local communities</w:t>
      </w:r>
      <w:r w:rsidR="00EA1E9B">
        <w:rPr>
          <w:rFonts w:ascii="Times New Roman" w:eastAsia="Times New Roman" w:hAnsi="Times New Roman" w:cs="Times New Roman"/>
        </w:rPr>
        <w:fldChar w:fldCharType="begin"/>
      </w:r>
      <w:r w:rsidR="00EA1E9B">
        <w:rPr>
          <w:rFonts w:ascii="Times New Roman" w:eastAsia="Times New Roman" w:hAnsi="Times New Roman" w:cs="Times New Roman"/>
        </w:rPr>
        <w:instrText xml:space="preserve"> ADDIN ZOTERO_ITEM CSL_CITATION {"citationID":"2p3a8luy","properties":{"formattedCitation":"\\super 32\\nosupersub{}","plainCitation":"32","noteIndex":0},"citationItems":[{"id":2877,"uris":["http://zotero.org/users/878981/items/8KPTQJRX"],"uri":["http://zotero.org/users/878981/items/8KPTQJRX"],"itemData":{"id":2877,"type":"article-journal","abstract":"This paper explores the potential for an environmental justice framing to shed new light on conservation controversies. We argue that, in order to make such progress, environmental justice analysis will need to provide a ‘difference-friendly’ conception of justice and that this will necessarily involve moving beyond dominant liberal conceptions of distributional fairness. We are largely welcoming of global deployments of distributive justice principles. However, we also explore the dangers of focusing on distribution alone, questioning the assumption of positive relationships between benefit sharing and more culturally defined dimensions of justice such as recognition. The limits of access and benefit sharing for delivering justice writ large is that it can disenfranchise people who are less well equipped or less willing to navigate its prevailing system of knowledge. We argue that, especially in the context of resource poverty, efforts to improve distribution can require potential beneficiaries to assimilate to dominant discourses of society and nature. Such conditionality can contract the opportunities for local and autonomous constructions of ‘different’ ways of knowing nature, and in doing so may also contract possibilities for flourishing biodiversities.","container-title":"The Geographical Journal","DOI":"https://doi.org/10.1111/geoj.12018","ISSN":"1475-4959","issue":"2","language":"en","note":"_eprint: https://rgs-ibg.onlinelibrary.wiley.com/doi/pdf/10.1111/geoj.12018","page":"122-131","source":"Wiley Online Library","title":"Global environmental justice and biodiversity conservation","volume":"179","author":[{"family":"Martin","given":"Adrian"},{"family":"McGuire","given":"Shawn"},{"family":"Sullivan","given":"Sian"}],"issued":{"date-parts":[["2013"]]}}}],"schema":"https://github.com/citation-style-language/schema/raw/master/csl-citation.json"} </w:instrText>
      </w:r>
      <w:r w:rsidR="00EA1E9B">
        <w:rPr>
          <w:rFonts w:ascii="Times New Roman" w:eastAsia="Times New Roman" w:hAnsi="Times New Roman" w:cs="Times New Roman"/>
        </w:rPr>
        <w:fldChar w:fldCharType="separate"/>
      </w:r>
      <w:r w:rsidR="00EA1E9B" w:rsidRPr="00EA1E9B">
        <w:rPr>
          <w:rFonts w:ascii="Times New Roman" w:hAnsi="Times New Roman" w:cs="Times New Roman"/>
          <w:vertAlign w:val="superscript"/>
        </w:rPr>
        <w:t>32</w:t>
      </w:r>
      <w:r w:rsidR="00EA1E9B">
        <w:rPr>
          <w:rFonts w:ascii="Times New Roman" w:eastAsia="Times New Roman" w:hAnsi="Times New Roman" w:cs="Times New Roman"/>
        </w:rPr>
        <w:fldChar w:fldCharType="end"/>
      </w:r>
      <w:r>
        <w:rPr>
          <w:rFonts w:ascii="Times New Roman" w:eastAsia="Times New Roman" w:hAnsi="Times New Roman" w:cs="Times New Roman"/>
        </w:rPr>
        <w:t>.</w:t>
      </w:r>
    </w:p>
    <w:p w14:paraId="014C5E19" w14:textId="02A052CF"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In contrast, there is little difference in protection pri</w:t>
      </w:r>
      <w:r>
        <w:rPr>
          <w:rFonts w:ascii="Times New Roman" w:eastAsia="Times New Roman" w:hAnsi="Times New Roman" w:cs="Times New Roman"/>
        </w:rPr>
        <w:t>orities in some countries at high risk from climate change, land-use, and low governance scores, but with high endemism. Given high endemic biodiversity, and homogeneity of risk, these countries all require high rates of protection within their borders. Mo</w:t>
      </w:r>
      <w:r>
        <w:rPr>
          <w:rFonts w:ascii="Times New Roman" w:eastAsia="Times New Roman" w:hAnsi="Times New Roman" w:cs="Times New Roman"/>
        </w:rPr>
        <w:t>reover, some countries closer to reaching the CBD’s 30% land area protection target, for example Brazil, which already has 30.3% of its land area protected, had lower differences between scenarios that incorporate risk and the null scenario that does not i</w:t>
      </w:r>
      <w:r>
        <w:rPr>
          <w:rFonts w:ascii="Times New Roman" w:eastAsia="Times New Roman" w:hAnsi="Times New Roman" w:cs="Times New Roman"/>
        </w:rPr>
        <w:t xml:space="preserve">ncorporate risk, despite having high </w:t>
      </w:r>
      <w:r>
        <w:rPr>
          <w:rFonts w:ascii="Times New Roman" w:eastAsia="Times New Roman" w:hAnsi="Times New Roman" w:cs="Times New Roman"/>
        </w:rPr>
        <w:lastRenderedPageBreak/>
        <w:t>climate, land-use, and governance risk. This outlines the importance of further considering the effectiveness of existing protected areas in planning analyses, where pressure from cropland conversion in tropical protect</w:t>
      </w:r>
      <w:r>
        <w:rPr>
          <w:rFonts w:ascii="Times New Roman" w:eastAsia="Times New Roman" w:hAnsi="Times New Roman" w:cs="Times New Roman"/>
        </w:rPr>
        <w:t>ed areas has increased to similar rates outside protected areas</w:t>
      </w:r>
      <w:r w:rsidR="005F4730">
        <w:rPr>
          <w:rFonts w:ascii="Times New Roman" w:eastAsia="Times New Roman" w:hAnsi="Times New Roman" w:cs="Times New Roman"/>
        </w:rPr>
        <w:fldChar w:fldCharType="begin"/>
      </w:r>
      <w:r w:rsidR="005F4730">
        <w:rPr>
          <w:rFonts w:ascii="Times New Roman" w:eastAsia="Times New Roman" w:hAnsi="Times New Roman" w:cs="Times New Roman"/>
        </w:rPr>
        <w:instrText xml:space="preserve"> ADDIN ZOTERO_ITEM CSL_CITATION {"citationID":"LiFaK5UJ","properties":{"formattedCitation":"\\super 33\\nosupersub{}","plainCitation":"33","noteIndex":0},"citationItems":[{"id":829,"uris":["http://zotero.org/users/878981/items/A2M6F94Q"],"uri":["http://zotero.org/users/878981/items/A2M6F94Q"],"itemData":{"id":829,"type":"article-journal","container-title":"Proceedings of the National Academy of Sciences","issue":"46","note":"publisher: National Acad Sciences","page":"23209–23215","source":"Google Scholar","title":"A global-level assessment of the effectiveness of protected areas at resisting anthropogenic pressures","volume":"116","author":[{"family":"Geldmann","given":"Jonas"},{"family":"Manica","given":"Andrea"},{"family":"Burgess","given":"Neil D."},{"family":"Coad","given":"Lauren"},{"family":"Balmford","given":"Andrew"}],"issued":{"date-parts":[["2019"]]}}}],"schema":"https://github.com/citation-style-language/schema/raw/master/csl-citation.json"} </w:instrText>
      </w:r>
      <w:r w:rsidR="005F4730">
        <w:rPr>
          <w:rFonts w:ascii="Times New Roman" w:eastAsia="Times New Roman" w:hAnsi="Times New Roman" w:cs="Times New Roman"/>
        </w:rPr>
        <w:fldChar w:fldCharType="separate"/>
      </w:r>
      <w:r w:rsidR="005F4730" w:rsidRPr="005F4730">
        <w:rPr>
          <w:rFonts w:ascii="Times New Roman" w:hAnsi="Times New Roman" w:cs="Times New Roman"/>
          <w:vertAlign w:val="superscript"/>
        </w:rPr>
        <w:t>33</w:t>
      </w:r>
      <w:r w:rsidR="005F4730">
        <w:rPr>
          <w:rFonts w:ascii="Times New Roman" w:eastAsia="Times New Roman" w:hAnsi="Times New Roman" w:cs="Times New Roman"/>
        </w:rPr>
        <w:fldChar w:fldCharType="end"/>
      </w:r>
      <w:r>
        <w:rPr>
          <w:rFonts w:ascii="Times New Roman" w:eastAsia="Times New Roman" w:hAnsi="Times New Roman" w:cs="Times New Roman"/>
        </w:rPr>
        <w:t>.</w:t>
      </w:r>
    </w:p>
    <w:p w14:paraId="69C29B7A" w14:textId="1FD5C6A6" w:rsidR="00355FC1" w:rsidRDefault="00BE17DB">
      <w:pPr>
        <w:spacing w:before="57" w:after="57" w:line="480" w:lineRule="auto"/>
        <w:rPr>
          <w:rFonts w:ascii="Times New Roman" w:eastAsia="Times New Roman" w:hAnsi="Times New Roman" w:cs="Times New Roman"/>
        </w:rPr>
      </w:pPr>
      <w:r>
        <w:rPr>
          <w:rFonts w:ascii="Times New Roman" w:eastAsia="Times New Roman" w:hAnsi="Times New Roman" w:cs="Times New Roman"/>
        </w:rPr>
        <w:t>Previous work has incorporated individual risk factors analogous to those we used, including governance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{"citationID":"7IANN0Ji","properties":{"formattedCitation":"\\super 1,34\\nosupersub{}","plainCitation":"1,34","noteIndex":0},"citationItems":[{"id":1165,"uris":["http://zotero.org/users/878981/items/5ESHQ8QG"],"uri":["http://zotero.org/users/878981/items/5ESHQ8QG"],"itemData":{"id":1165,"type":"article-journal","container-title":"Conservation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B"},{"family":"Pailler","given":"Sharon"}],"issued":{"date-parts":[["2011"]]}}},{"id":845,"uris":["http://zotero.org/users/878981/items/HUE6CQIP"],"uri":["http://zotero.org/users/878981/items/HUE6CQIP"],"itemData":{"id":845,"type":"article-journal","container-title":"Annals of the New York Academy of Sciences","source":"Google Scholar","title":"Quality of governance and effectiveness of protected areas: crucial concepts for conservation planning","title-short":"Quality of governance and effectiveness of protected areas","author":[{"family":"Eklund","given":"Johanna Fredrika"},{"family":"Cabeza-Jaimejuan","given":"Maria Del Mar"}],"issued":{"date-parts":[["2017"]]}}}],"schema":"https://github.com/citation-style-language/schema/raw/master/csl-citation.json"}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1,34</w:t>
      </w:r>
      <w:r w:rsidR="00DE10E0">
        <w:rPr>
          <w:rFonts w:ascii="Times New Roman" w:eastAsia="Times New Roman" w:hAnsi="Times New Roman" w:cs="Times New Roman"/>
        </w:rPr>
        <w:fldChar w:fldCharType="end"/>
      </w:r>
      <w:r>
        <w:rPr>
          <w:rFonts w:ascii="Times New Roman" w:eastAsia="Times New Roman" w:hAnsi="Times New Roman" w:cs="Times New Roman"/>
        </w:rPr>
        <w:t>, climate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{"citationID":"qwte8cv1","properties":{"formattedCitation":"\\super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3</w:t>
      </w:r>
      <w:r w:rsidR="00DE10E0">
        <w:rPr>
          <w:rFonts w:ascii="Times New Roman" w:eastAsia="Times New Roman" w:hAnsi="Times New Roman" w:cs="Times New Roman"/>
        </w:rPr>
        <w:fldChar w:fldCharType="end"/>
      </w:r>
      <w:r>
        <w:rPr>
          <w:rFonts w:ascii="Times New Roman" w:eastAsia="Times New Roman" w:hAnsi="Times New Roman" w:cs="Times New Roman"/>
        </w:rPr>
        <w:t xml:space="preserve"> and land-use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{"citationID":"McAfwU6v","properties":{"formattedCitation":"\\super 2,35\\nosupersub{}","plainCitation":"2,35","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2,35</w:t>
      </w:r>
      <w:r w:rsidR="00DE10E0">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Yet, o</w:t>
      </w:r>
      <w:r>
        <w:rPr>
          <w:rFonts w:ascii="Times New Roman" w:eastAsia="Times New Roman" w:hAnsi="Times New Roman" w:cs="Times New Roman"/>
          <w:color w:val="000000"/>
        </w:rPr>
        <w:t>ur results show that protected ar</w:t>
      </w:r>
      <w:r>
        <w:rPr>
          <w:rFonts w:ascii="Times New Roman" w:eastAsia="Times New Roman" w:hAnsi="Times New Roman" w:cs="Times New Roman"/>
          <w:color w:val="000000"/>
        </w:rPr>
        <w:t xml:space="preserve">ea expansion decisions can be profoundly influenced by all three </w:t>
      </w:r>
      <w:r>
        <w:rPr>
          <w:rFonts w:ascii="Times New Roman" w:eastAsia="Times New Roman" w:hAnsi="Times New Roman" w:cs="Times New Roman"/>
        </w:rPr>
        <w:t xml:space="preserve">risk </w:t>
      </w:r>
      <w:r>
        <w:rPr>
          <w:rFonts w:ascii="Times New Roman" w:eastAsia="Times New Roman" w:hAnsi="Times New Roman" w:cs="Times New Roman"/>
          <w:color w:val="000000"/>
        </w:rPr>
        <w:t>factors combined. If data on risk alters the effectiveness of biodiversity protection, our results show that they should be used together to support decisions for resilient protected are</w:t>
      </w:r>
      <w:r>
        <w:rPr>
          <w:rFonts w:ascii="Times New Roman" w:eastAsia="Times New Roman" w:hAnsi="Times New Roman" w:cs="Times New Roman"/>
          <w:color w:val="000000"/>
        </w:rPr>
        <w:t xml:space="preserve">a networks. </w:t>
      </w:r>
      <w:r>
        <w:rPr>
          <w:rFonts w:ascii="Times New Roman" w:eastAsia="Times New Roman" w:hAnsi="Times New Roman" w:cs="Times New Roman"/>
        </w:rPr>
        <w:t>As an example, climate metrics such as disappearing climates</w:t>
      </w:r>
      <w:r w:rsidR="00577929">
        <w:rPr>
          <w:rFonts w:ascii="Times New Roman" w:eastAsia="Times New Roman" w:hAnsi="Times New Roman" w:cs="Times New Roman"/>
        </w:rPr>
        <w:fldChar w:fldCharType="begin"/>
      </w:r>
      <w:r w:rsidR="00577929">
        <w:rPr>
          <w:rFonts w:ascii="Times New Roman" w:eastAsia="Times New Roman" w:hAnsi="Times New Roman" w:cs="Times New Roman"/>
        </w:rPr>
        <w:instrText xml:space="preserve"> ADDIN ZOTERO_ITEM CSL_CITATION {"citationID":"5zyF01q8","properties":{"formattedCitation":"\\super 36\\nosupersub{}","plainCitation":"36","noteIndex":0},"citationItems":[{"id":798,"uris":["http://zotero.org/users/878981/items/UQJRQJRQ"],"uri":["http://zotero.org/users/878981/items/UQJRQJRQ"],"itemData":{"id":798,"type":"article-journal","abstract":"Key risks associated with projected climate trends for the 21st century include the prospects of future climate states with no current analog and the disappearance of some extant climates. Because climate is a primary control on species distributions and ecosystem processes, novel 21st-century climates may promote formation of novel species associations and other ecological surprises, whereas the disappearance of some extant climates increases risk of extinction for species with narrow geographic or climatic distributions and disruption of existing communities. Here we analyze multimodel ensembles for the A2 and B1 emission scenarios produced for the fourth assessment report of the Intergovernmental Panel on Climate Change, with the goal of identifying regions projected to experience (i) high magnitudes of local climate change, (ii) development of novel 21st-century climates, and/or (iii) the disappearance of extant climates. Novel climates are projected to develop primarily in the tropics and subtropics, whereas disappearing climates are concentrated in tropical montane regions and the poleward portions of continents. Under the high-end A2 scenario, 12–39% and 10–48% of the Earth's terrestrial surface may respectively experience novel and disappearing climates by 2100 AD. Corresponding projections for the low-end B1 scenario are 4–20% and 4–20%. Dispersal limitations increase the risk that species will experience the loss of extant climates or the occurrence of novel climates. There is a close correspondence between regions with globally disappearing climates and previously identified biodiversity hotspots; for these regions, standard conservation solutions (e.g., assisted migration and networked reserves) may be insufficient to preserve biodiversity.","container-title":"Proceedings of the National Academy of Sciences","DOI":"10.1073/pnas.0606292104","ISSN":"0027-8424, 1091-6490","issue":"14","journalAbbreviation":"PNAS","language":"en","note":"publisher: National Academy of Sciences\nsection: Physical Sciences\nPMID: 17389402","page":"5738-5742","source":"www.pnas.org","title":"Projected distributions of novel and disappearing climates by 2100 AD","volume":"104","author":[{"family":"Williams","given":"John W."},{"family":"Jackson","given":"Stephen T."},{"family":"Kutzbach","given":"John E."}],"issued":{"date-parts":[["2007",4,3]]}}}],"schema":"https://github.com/citation-style-language/schema/raw/master/csl-citation.json"} </w:instrText>
      </w:r>
      <w:r w:rsidR="00577929">
        <w:rPr>
          <w:rFonts w:ascii="Times New Roman" w:eastAsia="Times New Roman" w:hAnsi="Times New Roman" w:cs="Times New Roman"/>
        </w:rPr>
        <w:fldChar w:fldCharType="separate"/>
      </w:r>
      <w:r w:rsidR="00577929" w:rsidRPr="00577929">
        <w:rPr>
          <w:rFonts w:ascii="Times New Roman" w:hAnsi="Times New Roman" w:cs="Times New Roman"/>
          <w:vertAlign w:val="superscript"/>
        </w:rPr>
        <w:t>36</w:t>
      </w:r>
      <w:r w:rsidR="00577929">
        <w:rPr>
          <w:rFonts w:ascii="Times New Roman" w:eastAsia="Times New Roman" w:hAnsi="Times New Roman" w:cs="Times New Roman"/>
        </w:rPr>
        <w:fldChar w:fldCharType="end"/>
      </w:r>
      <w:r>
        <w:rPr>
          <w:rFonts w:ascii="Times New Roman" w:eastAsia="Times New Roman" w:hAnsi="Times New Roman" w:cs="Times New Roman"/>
        </w:rPr>
        <w:t xml:space="preserve"> might be relevant if the consideration is on small-ranged and threatened species</w:t>
      </w:r>
      <w:r>
        <w:rPr>
          <w:rFonts w:ascii="Times New Roman" w:eastAsia="Times New Roman" w:hAnsi="Times New Roman" w:cs="Times New Roman"/>
          <w:color w:val="000000"/>
        </w:rPr>
        <w:t xml:space="preserve">. Our flexible framework and methods can allow conservation agencies </w:t>
      </w:r>
      <w:r>
        <w:rPr>
          <w:rFonts w:ascii="Times New Roman" w:eastAsia="Times New Roman" w:hAnsi="Times New Roman" w:cs="Times New Roman"/>
        </w:rPr>
        <w:t>looking to set priorities from t</w:t>
      </w:r>
      <w:r>
        <w:rPr>
          <w:rFonts w:ascii="Times New Roman" w:eastAsia="Times New Roman" w:hAnsi="Times New Roman" w:cs="Times New Roman"/>
        </w:rPr>
        <w:t>he global to local scale and incorporate different metrics to</w:t>
      </w:r>
      <w:r>
        <w:rPr>
          <w:rFonts w:ascii="Times New Roman" w:eastAsia="Times New Roman" w:hAnsi="Times New Roman" w:cs="Times New Roman"/>
          <w:color w:val="000000"/>
        </w:rPr>
        <w:t xml:space="preserve"> explore the influence of individual parameters and metrics on decisions.</w:t>
      </w:r>
    </w:p>
    <w:p w14:paraId="69D39294" w14:textId="77777777" w:rsidR="00355FC1" w:rsidRDefault="00355FC1">
      <w:pPr>
        <w:spacing w:before="240" w:line="480" w:lineRule="auto"/>
        <w:ind w:firstLine="720"/>
        <w:rPr>
          <w:rFonts w:ascii="Times New Roman" w:eastAsia="Times New Roman" w:hAnsi="Times New Roman" w:cs="Times New Roman"/>
        </w:rPr>
      </w:pPr>
    </w:p>
    <w:p w14:paraId="74AB1559" w14:textId="77777777" w:rsidR="00355FC1" w:rsidRDefault="00BE17DB">
      <w:pPr>
        <w:keepNext/>
        <w:spacing w:line="480" w:lineRule="auto"/>
        <w:ind w:firstLine="720"/>
        <w:rPr>
          <w:rFonts w:ascii="Times New Roman" w:eastAsia="Times New Roman" w:hAnsi="Times New Roman" w:cs="Times New Roman"/>
        </w:rPr>
      </w:pPr>
      <w:r>
        <w:rPr>
          <w:rFonts w:ascii="Times New Roman" w:eastAsia="Times New Roman" w:hAnsi="Times New Roman" w:cs="Times New Roman"/>
          <w:b/>
        </w:rPr>
        <w:t>Conclusion</w:t>
      </w:r>
    </w:p>
    <w:p w14:paraId="625EF283" w14:textId="00401D38" w:rsidR="00355FC1" w:rsidRDefault="00BE17DB">
      <w:pPr>
        <w:spacing w:line="480" w:lineRule="auto"/>
      </w:pPr>
      <w:r>
        <w:rPr>
          <w:rFonts w:ascii="Times New Roman" w:eastAsia="Times New Roman" w:hAnsi="Times New Roman" w:cs="Times New Roman"/>
        </w:rPr>
        <w:t>The conservation community has traditionally neglected to estimate how future changes in climate</w:t>
      </w:r>
      <w:r w:rsidR="002A43E2">
        <w:rPr>
          <w:rFonts w:ascii="Times New Roman" w:eastAsia="Times New Roman" w:hAnsi="Times New Roman" w:cs="Times New Roman"/>
        </w:rPr>
        <w:fldChar w:fldCharType="begin"/>
      </w:r>
      <w:r w:rsidR="002A43E2">
        <w:rPr>
          <w:rFonts w:ascii="Times New Roman" w:eastAsia="Times New Roman" w:hAnsi="Times New Roman" w:cs="Times New Roman"/>
        </w:rPr>
        <w:instrText xml:space="preserve"> ADDIN ZOTERO_ITEM CSL_CITATION {"citationID":"VOWWPsAU","properties":{"formattedCitation":"\\super 37\\nosupersub{}","plainCitation":"37","noteIndex":0},"citationItems":[{"id":797,"uris":["http://zotero.org/users/878981/items/Z5D8ENUW"],"uri":["http://zotero.org/users/878981/items/Z5D8ENUW"],"itemData":{"id":797,"type":"article-journal","abstract":"Fire's growing impacts on ecosystems\nFire has played a prominent role in the evolution of biodiversity and is a natural factor shaping many ecological communities. However, the incidence of fire has been exacerbated by human activity, and this is now affecting ecosystems and habitats that have never been fire prone or fire adapted. Kelly et al. review how such changes are already threatening species with extinction and transforming terrestrial ecosystems and discuss the trends causing changes in fire regimes. They also consider actions that could be taken by conservationists and policy-makers to help sustain biodiversity in a time of changing fire activity.\nScience, this issue p. eabb0355\nStructured Abstract\nBACKGROUNDFire has shaped the diversity of life on Earth for millions of years. Variation in fire regimes continues to be a source of biodiversity across the globe, and many plants, animals, and ecosystems depend on particular temporal and spatial patterns of fire. Although people have been using fire to modify environments for millennia, the combined effects of human activities are now changing patterns of fire at a global scale—to the detriment of human society, biodiversity, and ecosystems. These changes pose a global challenge for understanding how to sustain biodiversity in a new era of fire. We synthesize how changes in fire activity are threatening species with extinction across the globe, highlight forward-looking methods for predicting the combined effects of human drivers and fire on biodiversity, and foreshadow emerging actions and strategies that could revolutionize how society manages fire for biodiversity in the Anthropocene.\nADVANCESOur synthesis shows that interactions with anthropogenic drivers such as global climate change, land use, and biotic invasions are transforming fire activity and its impacts on biodiversity. More than 4400 terrestrial and freshwater species from a wide range of taxa and habitats face threats associated with modified fire regimes. Many species are threatened by an increase in fire frequency or intensity, but exclusion of fire in ecosystems that need it can also be harmful. The prominent role of human activity in shaping global ecosystems is the hallmark of the Anthropocene and sets the context in which models and actions must be developed. Advances in predictive modeling deliver new opportunities to couple fire and biodiversity data and to link them with forecasts of multiple drivers including drought, invasive plants, and urban growth. Making these connections also provides an opportunity for new actions that could revolutionize how society manages fire. Emerging actions include reintroduction of mammals that reduce fuels, green fire breaks comprising low-flammability plants, strategically letting wildfires burn under the right conditions, managed evolution of populations aided by new genomics tools, and deployment of rapid response teams to protect biodiversity assets. Indigenous fire stewardship and reinstatement of cultural burning in a modern context will enhance biodiversity and human well-being in many regions of the world. At the same time, international efforts to reduce greenhouse gas emissions are crucial to reduce the risk of extreme fire events that contribute to declines in biodiversity.\nOUTLOOKConservation of Earth’s biological diversity will be achieved only by recognition of and response to the critical role of fire in shaping ecosystems. Global changes in fire regimes will continue to amplify interactions between anthropogenic drivers and create difficult trade-offs between environmental and social objectives. Scientific input will be crucial for navigating major decisions about novel and changing ecosystems. Strategic collection of data on fire, biodiversity, and socioeconomic variables will be essential for developing models to capture the feedbacks, tipping points, and regime shifts characteristic of the Anthropocene. New partnerships are also needed to meet the challenges ahead. At the local and regional scale, getting more of the “right” type of fire in landscapes that need it requires new alliances and networks to build and apply knowledge. At the national and global scale, biodiversity conservation will benefit from greater integration of fire into national biodiversity strategies and action plans and in the implementation of international agreements and initiatives such as the UN Convention on Biological Diversity. Placing the increasingly important role of people at the forefront of efforts to understand and adapt to changes in fire regimes is central to these endeavors. &lt;img class=\"fragment-image\" aria-describedby=\"F1-caption\" src=\"https://science.sciencemag.org/content/sci/370/6519/eabb0355/F1.medium.gif\"/&gt; Download high-res image Open in new tab Download Powerpoint Interactions between fire and anthropogenic drivers such as global climate change, land use, and invasive species are reshaping ecosystems worldwide.A hotter and drier climate causes more extreme fire weather in southeastern Australia and significant loss of biota. Human-caused ignitions at the interface of urban areas and forests increase the risk of large, severe fires in the western United States, with growing human and ecological costs. In South Africa, fynbos shrublands depend on recurrent fire, yet invasive woody species can promote high-intensity fires that harm native plants and seedbanks. Changes in climate, land use, and species redistributions are underpinned by socioeconomic drivers. In many parts of the world, cessation of traditional fire practices has been linked with detrimental outcomes for biodiversity. In the fire-dependent savannas (cerrado) of Brazil, deliberate use of fire by Indigenous and local peoples, such as the Xavante, can have positive effects on biodiversity.PHOTO CREDITS: J. CARMODY / AUSTRALIAN BROADCASTING CORPORATION (TOP LEFT), AAP PHOTOS (TOP RIGHT), A. DE LANGE (BOTTOM LEFT), J. R. WELCH (BOTTOM RIGHT)\nFire has been a source of global biodiversity for millions of years. However, interactions with anthropogenic drivers such as climate change, land use, and invasive species are changing the nature of fire activity and its impacts. We review how such changes are threatening species with extinction and transforming terrestrial ecosystems. Conservation of Earth’s biological diversity will be achieved only by recognizing and responding to the critical role of fire. In the Anthropocene, this requires that conservation planning explicitly includes the combined effects of human activities and fire regimes. Improved forecasts for biodiversity must also integrate the connections among people, fire, and ecosystems. Such integration provides an opportunity for new actions that could revolutionize how society sustains biodiversity in a time of changing fire activity.","container-title":"Science","DOI":"10.1126/science.abb0355","ISSN":"0036-8075, 1095-9203","issue":"6519","language":"en","note":"publisher: American Association for the Advancement of Science\nsection: Review\nPMID: 33214246","source":"science.sciencemag.org","title":"Fire and biodiversity in the Anthropocene","URL":"https://science.sciencemag.org/content/370/6519/eabb0355","volume":"370","author":[{"family":"Kelly","given":"Luke T."},{"family":"Giljohann","given":"Katherine M."},{"family":"Duane","given":"Andrea"},{"family":"Aquilué","given":"Núria"},{"family":"Archibald","given":"Sally"},{"family":"Batllori","given":"Enric"},{"family":"Bennett","given":"Andrew F."},{"family":"Buckland","given":"Stephen T."},{"family":"Canelles","given":"Quim"},{"family":"Clarke","given":"Michael F."},{"family":"Fortin","given":"Marie-Josée"},{"family":"Hermoso","given":"Virgilio"},{"family":"Herrando","given":"Sergi"},{"family":"Keane","given":"Robert E."},{"family":"Lake","given":"Frank K."},{"family":"McCarthy","given":"Michael A."},{"family":"Morán-Ordóñez","given":"Alejandra"},{"family":"Parr","given":"Catherine L."},{"family":"Pausas","given":"Juli G."},{"family":"Penman","given":"Trent D."},{"family":"Regos","given":"Adrián"},{"family":"Rumpff","given":"Libby"},{"family":"Santos","given":"Julianna L."},{"family":"Smith","given":"Annabel L."},{"family":"Syphard","given":"Alexandra D."},{"family":"Tingley","given":"Morgan W."},{"family":"Brotons","given":"Lluís"}],"accessed":{"date-parts":[["2020",12,11]]},"issued":{"date-parts":[["2020",11,20]]}}}],"schema":"https://github.com/citation-style-language/schema/raw/master/csl-citation.json"} </w:instrText>
      </w:r>
      <w:r w:rsidR="002A43E2">
        <w:rPr>
          <w:rFonts w:ascii="Times New Roman" w:eastAsia="Times New Roman" w:hAnsi="Times New Roman" w:cs="Times New Roman"/>
        </w:rPr>
        <w:fldChar w:fldCharType="separate"/>
      </w:r>
      <w:r w:rsidR="002A43E2" w:rsidRPr="002A43E2">
        <w:rPr>
          <w:rFonts w:ascii="Times New Roman" w:hAnsi="Times New Roman" w:cs="Times New Roman"/>
          <w:vertAlign w:val="superscript"/>
        </w:rPr>
        <w:t>37</w:t>
      </w:r>
      <w:r w:rsidR="002A43E2">
        <w:rPr>
          <w:rFonts w:ascii="Times New Roman" w:eastAsia="Times New Roman" w:hAnsi="Times New Roman" w:cs="Times New Roman"/>
        </w:rPr>
        <w:fldChar w:fldCharType="end"/>
      </w:r>
      <w:r>
        <w:rPr>
          <w:rFonts w:ascii="Times New Roman" w:eastAsia="Times New Roman" w:hAnsi="Times New Roman" w:cs="Times New Roman"/>
        </w:rPr>
        <w:t>, land-use</w:t>
      </w:r>
      <w:r w:rsidR="00D24244">
        <w:rPr>
          <w:rFonts w:ascii="Times New Roman" w:eastAsia="Times New Roman" w:hAnsi="Times New Roman" w:cs="Times New Roman"/>
        </w:rPr>
        <w:fldChar w:fldCharType="begin"/>
      </w:r>
      <w:r w:rsidR="00D24244">
        <w:rPr>
          <w:rFonts w:ascii="Times New Roman" w:eastAsia="Times New Roman" w:hAnsi="Times New Roman" w:cs="Times New Roman"/>
        </w:rPr>
        <w:instrText xml:space="preserve"> ADDIN ZOTERO_ITEM CSL_CITATION {"citationID":"SjqGY2TI","properties":{"formattedCitation":"\\super 35\\nosupersub{}","plainCitation":"35","noteIndex":0},"citationItems":[{"id":800,"uris":["http://zotero.org/users/878981/items/GDS29RUJ"],"uri":["http://zotero.org/users/878981/items/GDS29RUJ"],"itemData":{"id":800,"type":"article-journal","abstract":"Mammalian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24244">
        <w:rPr>
          <w:rFonts w:ascii="Times New Roman" w:eastAsia="Times New Roman" w:hAnsi="Times New Roman" w:cs="Times New Roman"/>
        </w:rPr>
        <w:fldChar w:fldCharType="separate"/>
      </w:r>
      <w:r w:rsidR="00D24244" w:rsidRPr="00D24244">
        <w:rPr>
          <w:rFonts w:ascii="Times New Roman" w:hAnsi="Times New Roman" w:cs="Times New Roman"/>
          <w:vertAlign w:val="superscript"/>
        </w:rPr>
        <w:t>35</w:t>
      </w:r>
      <w:r w:rsidR="00D24244">
        <w:rPr>
          <w:rFonts w:ascii="Times New Roman" w:eastAsia="Times New Roman" w:hAnsi="Times New Roman" w:cs="Times New Roman"/>
        </w:rPr>
        <w:fldChar w:fldCharType="end"/>
      </w:r>
      <w:r>
        <w:rPr>
          <w:rFonts w:ascii="Times New Roman" w:eastAsia="Times New Roman" w:hAnsi="Times New Roman" w:cs="Times New Roman"/>
        </w:rPr>
        <w:t xml:space="preserve">, and socio-economic conditions might compromise the effectiveness of protected areas. Our results show that the spatial distribution of protected areas, rather than the land area </w:t>
      </w:r>
      <w:r>
        <w:rPr>
          <w:rFonts w:ascii="Times New Roman" w:eastAsia="Times New Roman" w:hAnsi="Times New Roman" w:cs="Times New Roman"/>
          <w:i/>
        </w:rPr>
        <w:t>per se</w:t>
      </w:r>
      <w:r>
        <w:rPr>
          <w:rFonts w:ascii="Times New Roman" w:eastAsia="Times New Roman" w:hAnsi="Times New Roman" w:cs="Times New Roman"/>
        </w:rPr>
        <w:t>, can be profoundly influenced by risk, particularly from governance. Surprisingly, incorporating risk into decision-making adds &lt;1% to the total global area required to meet biodiversity targets.  Accounting for risk comes at limited extra cost, but poten</w:t>
      </w:r>
      <w:r>
        <w:rPr>
          <w:rFonts w:ascii="Times New Roman" w:eastAsia="Times New Roman" w:hAnsi="Times New Roman" w:cs="Times New Roman"/>
        </w:rPr>
        <w:t>tially large benefits to achieving global biodiversity targets. Our results also emphasize the importance of cross-jurisdictional conservation initiatives, especially in adjacent countries sharing wide-ranging species where risk varies considerably from co</w:t>
      </w:r>
      <w:r>
        <w:rPr>
          <w:rFonts w:ascii="Times New Roman" w:eastAsia="Times New Roman" w:hAnsi="Times New Roman" w:cs="Times New Roman"/>
        </w:rPr>
        <w:t xml:space="preserve">untry to country. Considering risk in conservation decision-making will result in more resilient and </w:t>
      </w:r>
      <w:r>
        <w:rPr>
          <w:rFonts w:ascii="Times New Roman" w:eastAsia="Times New Roman" w:hAnsi="Times New Roman" w:cs="Times New Roman"/>
        </w:rPr>
        <w:lastRenderedPageBreak/>
        <w:t>effective conservation plans into the future to help safeguard our planet’s biodiversity in the face of the current extinction and climate crises.</w:t>
      </w:r>
      <w:r>
        <w:br w:type="page"/>
      </w:r>
    </w:p>
    <w:p w14:paraId="24CCC0C0" w14:textId="77777777" w:rsidR="00BD2532"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Main references</w:t>
      </w:r>
    </w:p>
    <w:p w14:paraId="7F81BF01" w14:textId="77777777" w:rsidR="00BD2532" w:rsidRDefault="00BD2532">
      <w:pPr>
        <w:spacing w:line="480" w:lineRule="auto"/>
        <w:rPr>
          <w:rFonts w:ascii="Times New Roman" w:eastAsia="Times New Roman" w:hAnsi="Times New Roman" w:cs="Times New Roman"/>
          <w:b/>
        </w:rPr>
      </w:pPr>
    </w:p>
    <w:p w14:paraId="517E4760" w14:textId="77777777" w:rsidR="00BD2532" w:rsidRDefault="00BD2532" w:rsidP="00BD2532">
      <w:pPr>
        <w:spacing w:line="480" w:lineRule="auto"/>
        <w:rPr>
          <w:rFonts w:ascii="Times New Roman" w:eastAsia="Times New Roman" w:hAnsi="Times New Roman" w:cs="Times New Roman"/>
          <w:b/>
        </w:rPr>
      </w:pPr>
      <w:r>
        <w:rPr>
          <w:rFonts w:ascii="Times New Roman" w:eastAsia="Times New Roman" w:hAnsi="Times New Roman" w:cs="Times New Roman"/>
          <w:b/>
        </w:rPr>
        <w:t>Methods references</w:t>
      </w:r>
    </w:p>
    <w:p w14:paraId="153126E4" w14:textId="77777777" w:rsidR="00BD2532" w:rsidRDefault="00BD2532">
      <w:pPr>
        <w:spacing w:line="480" w:lineRule="auto"/>
        <w:rPr>
          <w:rFonts w:ascii="Times New Roman" w:eastAsia="Times New Roman" w:hAnsi="Times New Roman" w:cs="Times New Roman"/>
          <w:b/>
        </w:rPr>
      </w:pPr>
    </w:p>
    <w:p w14:paraId="6F8A7D1B" w14:textId="6785DB0B" w:rsidR="00BD2532" w:rsidRDefault="00BD2532">
      <w:pPr>
        <w:spacing w:line="480" w:lineRule="auto"/>
        <w:rPr>
          <w:rFonts w:ascii="Times New Roman" w:eastAsia="Times New Roman" w:hAnsi="Times New Roman" w:cs="Times New Roman"/>
          <w:b/>
        </w:rPr>
        <w:sectPr w:rsidR="00BD2532" w:rsidSect="00002BFA">
          <w:pgSz w:w="12240" w:h="15840"/>
          <w:pgMar w:top="1134" w:right="1134" w:bottom="1134" w:left="1134" w:header="0" w:footer="0" w:gutter="0"/>
          <w:lnNumType w:countBy="1" w:restart="continuous"/>
          <w:pgNumType w:start="1"/>
          <w:cols w:space="720"/>
          <w:docGrid w:linePitch="326"/>
        </w:sectPr>
      </w:pPr>
    </w:p>
    <w:p w14:paraId="35CEE89B" w14:textId="77777777" w:rsidR="00592ABC" w:rsidRDefault="00B13A62" w:rsidP="00592ABC">
      <w:pPr>
        <w:pStyle w:val="Bibliography"/>
      </w:pPr>
      <w:r>
        <w:rPr>
          <w:rFonts w:eastAsia="Times New Roman"/>
          <w:color w:val="000000"/>
        </w:rPr>
        <w:fldChar w:fldCharType="begin"/>
      </w:r>
      <w:r>
        <w:rPr>
          <w:rFonts w:eastAsia="Times New Roman"/>
          <w:color w:val="000000"/>
        </w:rPr>
        <w:instrText xml:space="preserve"> ADDIN ZOTERO_BIBL {"uncited":[],"omitted":[],"custom":[]} CSL_BIBLIOGRAPHY </w:instrText>
      </w:r>
      <w:r>
        <w:rPr>
          <w:rFonts w:eastAsia="Times New Roman"/>
          <w:color w:val="000000"/>
        </w:rPr>
        <w:fldChar w:fldCharType="separate"/>
      </w:r>
      <w:r w:rsidR="00592ABC">
        <w:t>1.</w:t>
      </w:r>
      <w:r w:rsidR="00592ABC">
        <w:tab/>
        <w:t xml:space="preserve">Mascia, M. B. &amp; Pailler, S. Protected area downgrading, downsizing, and degazettement (PADDD) and its conservation implications. </w:t>
      </w:r>
      <w:r w:rsidR="00592ABC">
        <w:rPr>
          <w:i/>
          <w:iCs/>
        </w:rPr>
        <w:t>Conserv. Lett.</w:t>
      </w:r>
      <w:r w:rsidR="00592ABC">
        <w:t xml:space="preserve"> </w:t>
      </w:r>
      <w:r w:rsidR="00592ABC">
        <w:rPr>
          <w:b/>
          <w:bCs/>
        </w:rPr>
        <w:t>4</w:t>
      </w:r>
      <w:r w:rsidR="00592ABC">
        <w:t>, 9–20 (2011).</w:t>
      </w:r>
    </w:p>
    <w:p w14:paraId="5DBE442B" w14:textId="77777777" w:rsidR="00592ABC" w:rsidRDefault="00592ABC" w:rsidP="00592ABC">
      <w:pPr>
        <w:pStyle w:val="Bibliography"/>
      </w:pPr>
      <w:r>
        <w:t>2.</w:t>
      </w:r>
      <w:r>
        <w:tab/>
        <w:t xml:space="preserve">Pouzols, F. M. </w:t>
      </w:r>
      <w:r>
        <w:rPr>
          <w:i/>
          <w:iCs/>
        </w:rPr>
        <w:t>et al.</w:t>
      </w:r>
      <w:r>
        <w:t xml:space="preserve"> Global protected area expansion is compromised by projected land-use and parochialism. </w:t>
      </w:r>
      <w:r>
        <w:rPr>
          <w:i/>
          <w:iCs/>
        </w:rPr>
        <w:t>Nature</w:t>
      </w:r>
      <w:r>
        <w:t xml:space="preserve"> </w:t>
      </w:r>
      <w:r>
        <w:rPr>
          <w:b/>
          <w:bCs/>
        </w:rPr>
        <w:t>516</w:t>
      </w:r>
      <w:r>
        <w:t>, 383–386 (2014).</w:t>
      </w:r>
    </w:p>
    <w:p w14:paraId="674A18DC" w14:textId="77777777" w:rsidR="00592ABC" w:rsidRDefault="00592ABC" w:rsidP="00592ABC">
      <w:pPr>
        <w:pStyle w:val="Bibliography"/>
      </w:pPr>
      <w:r>
        <w:t>3.</w:t>
      </w:r>
      <w:r>
        <w:tab/>
        <w:t xml:space="preserve">Hoffmann, S., Irl, S. D. &amp; Beierkuhnlein, C. Predicted climate shifts within terrestrial protected areas worldwide. </w:t>
      </w:r>
      <w:r>
        <w:rPr>
          <w:i/>
          <w:iCs/>
        </w:rPr>
        <w:t>Nat. Commun.</w:t>
      </w:r>
      <w:r>
        <w:t xml:space="preserve"> </w:t>
      </w:r>
      <w:r>
        <w:rPr>
          <w:b/>
          <w:bCs/>
        </w:rPr>
        <w:t>10</w:t>
      </w:r>
      <w:r>
        <w:t>, 1–10 (2019).</w:t>
      </w:r>
    </w:p>
    <w:p w14:paraId="20A897B3" w14:textId="77777777" w:rsidR="00592ABC" w:rsidRDefault="00592ABC" w:rsidP="00592ABC">
      <w:pPr>
        <w:pStyle w:val="Bibliography"/>
      </w:pPr>
      <w:r>
        <w:t>4.</w:t>
      </w:r>
      <w:r>
        <w:tab/>
        <w:t>Zero draft of the post-2020 global biodiversity framework.</w:t>
      </w:r>
    </w:p>
    <w:p w14:paraId="7ED07774" w14:textId="77777777" w:rsidR="00592ABC" w:rsidRDefault="00592ABC" w:rsidP="00592ABC">
      <w:pPr>
        <w:pStyle w:val="Bibliography"/>
      </w:pPr>
      <w:r>
        <w:t>5.</w:t>
      </w:r>
      <w:r>
        <w:tab/>
        <w:t xml:space="preserve">Watson, J. E., Dudley, N., Segan, D. B. &amp; Hockings, M. The performance and potential of protected areas. </w:t>
      </w:r>
      <w:r>
        <w:rPr>
          <w:i/>
          <w:iCs/>
        </w:rPr>
        <w:t>Nature</w:t>
      </w:r>
      <w:r>
        <w:t xml:space="preserve"> </w:t>
      </w:r>
      <w:r>
        <w:rPr>
          <w:b/>
          <w:bCs/>
        </w:rPr>
        <w:t>515</w:t>
      </w:r>
      <w:r>
        <w:t>, 67–73 (2014).</w:t>
      </w:r>
    </w:p>
    <w:p w14:paraId="1E839DA5" w14:textId="77777777" w:rsidR="00592ABC" w:rsidRDefault="00592ABC" w:rsidP="00592ABC">
      <w:pPr>
        <w:pStyle w:val="Bibliography"/>
      </w:pPr>
      <w:r>
        <w:t>6.</w:t>
      </w:r>
      <w:r>
        <w:tab/>
        <w:t xml:space="preserve">Brooks, T. M. </w:t>
      </w:r>
      <w:r>
        <w:rPr>
          <w:i/>
          <w:iCs/>
        </w:rPr>
        <w:t>et al.</w:t>
      </w:r>
      <w:r>
        <w:t xml:space="preserve"> Global biodiversity conservation priorities. </w:t>
      </w:r>
      <w:r>
        <w:rPr>
          <w:i/>
          <w:iCs/>
        </w:rPr>
        <w:t>science</w:t>
      </w:r>
      <w:r>
        <w:t xml:space="preserve"> </w:t>
      </w:r>
      <w:r>
        <w:rPr>
          <w:b/>
          <w:bCs/>
        </w:rPr>
        <w:t>313</w:t>
      </w:r>
      <w:r>
        <w:t>, 58–61 (2006).</w:t>
      </w:r>
    </w:p>
    <w:p w14:paraId="3A438A33" w14:textId="77777777" w:rsidR="00592ABC" w:rsidRDefault="00592ABC" w:rsidP="00592ABC">
      <w:pPr>
        <w:pStyle w:val="Bibliography"/>
      </w:pPr>
      <w:r>
        <w:t>7.</w:t>
      </w:r>
      <w:r>
        <w:tab/>
        <w:t xml:space="preserve">Venter, O. </w:t>
      </w:r>
      <w:r>
        <w:rPr>
          <w:i/>
          <w:iCs/>
        </w:rPr>
        <w:t>et al.</w:t>
      </w:r>
      <w:r>
        <w:t xml:space="preserve"> Targeting Global Protected Area Expansion for Imperiled Biodiversity. </w:t>
      </w:r>
      <w:r>
        <w:rPr>
          <w:i/>
          <w:iCs/>
        </w:rPr>
        <w:t>PLOS Biol.</w:t>
      </w:r>
      <w:r>
        <w:t xml:space="preserve"> </w:t>
      </w:r>
      <w:r>
        <w:rPr>
          <w:b/>
          <w:bCs/>
        </w:rPr>
        <w:t>12</w:t>
      </w:r>
      <w:r>
        <w:t>, e1001891 (2014).</w:t>
      </w:r>
    </w:p>
    <w:p w14:paraId="4C199667" w14:textId="77777777" w:rsidR="00592ABC" w:rsidRDefault="00592ABC" w:rsidP="00592ABC">
      <w:pPr>
        <w:pStyle w:val="Bibliography"/>
      </w:pPr>
      <w:r>
        <w:t>8.</w:t>
      </w:r>
      <w:r>
        <w:tab/>
        <w:t xml:space="preserve">Baynham-Herd, Z., Amano, T., Sutherland, W. J. &amp; Donald, P. F. Governance explains variation in national responses to the biodiversity crisis. </w:t>
      </w:r>
      <w:r>
        <w:rPr>
          <w:i/>
          <w:iCs/>
        </w:rPr>
        <w:t>Environ. Conserv.</w:t>
      </w:r>
      <w:r>
        <w:t xml:space="preserve"> </w:t>
      </w:r>
      <w:r>
        <w:rPr>
          <w:b/>
          <w:bCs/>
        </w:rPr>
        <w:t>45</w:t>
      </w:r>
      <w:r>
        <w:t>, 407–418 (2018).</w:t>
      </w:r>
    </w:p>
    <w:p w14:paraId="0CABB906" w14:textId="77777777" w:rsidR="00592ABC" w:rsidRDefault="00592ABC" w:rsidP="00592ABC">
      <w:pPr>
        <w:pStyle w:val="Bibliography"/>
      </w:pPr>
      <w:r>
        <w:t>9.</w:t>
      </w:r>
      <w:r>
        <w:tab/>
        <w:t xml:space="preserve">Miller, D. C., Agrawal, A. &amp; Roberts, J. T. Biodiversity, governance, and the allocation of international aid for conservation. </w:t>
      </w:r>
      <w:r>
        <w:rPr>
          <w:i/>
          <w:iCs/>
        </w:rPr>
        <w:t>Conserv. Lett.</w:t>
      </w:r>
      <w:r>
        <w:t xml:space="preserve"> </w:t>
      </w:r>
      <w:r>
        <w:rPr>
          <w:b/>
          <w:bCs/>
        </w:rPr>
        <w:t>6</w:t>
      </w:r>
      <w:r>
        <w:t>, 12–20 (2013).</w:t>
      </w:r>
    </w:p>
    <w:p w14:paraId="32E5D939" w14:textId="77777777" w:rsidR="00592ABC" w:rsidRDefault="00592ABC" w:rsidP="00592ABC">
      <w:pPr>
        <w:pStyle w:val="Bibliography"/>
      </w:pPr>
      <w:r>
        <w:t>10.</w:t>
      </w:r>
      <w:r>
        <w:tab/>
        <w:t xml:space="preserve">Schulze, K. </w:t>
      </w:r>
      <w:r>
        <w:rPr>
          <w:i/>
          <w:iCs/>
        </w:rPr>
        <w:t>et al.</w:t>
      </w:r>
      <w:r>
        <w:t xml:space="preserve"> An assessment of threats to terrestrial protected areas. </w:t>
      </w:r>
      <w:r>
        <w:rPr>
          <w:i/>
          <w:iCs/>
        </w:rPr>
        <w:t>Conserv. Lett.</w:t>
      </w:r>
      <w:r>
        <w:t xml:space="preserve"> </w:t>
      </w:r>
      <w:r>
        <w:rPr>
          <w:b/>
          <w:bCs/>
        </w:rPr>
        <w:t>11</w:t>
      </w:r>
      <w:r>
        <w:t>, e12435 (2018).</w:t>
      </w:r>
    </w:p>
    <w:p w14:paraId="36CB2278" w14:textId="77777777" w:rsidR="00592ABC" w:rsidRDefault="00592ABC" w:rsidP="00592ABC">
      <w:pPr>
        <w:pStyle w:val="Bibliography"/>
      </w:pPr>
      <w:r>
        <w:t>11.</w:t>
      </w:r>
      <w:r>
        <w:tab/>
        <w:t xml:space="preserve">Hammill, E., Tulloch, A. I. T., Possingham, H. P., Strange, N. &amp; Wilson, K. A. Factoring attitudes towards armed conflict risk into selection of protected areas for conservation. </w:t>
      </w:r>
      <w:r>
        <w:rPr>
          <w:i/>
          <w:iCs/>
        </w:rPr>
        <w:t>Nat. Commun.</w:t>
      </w:r>
      <w:r>
        <w:t xml:space="preserve"> </w:t>
      </w:r>
      <w:r>
        <w:rPr>
          <w:b/>
          <w:bCs/>
        </w:rPr>
        <w:t>7</w:t>
      </w:r>
      <w:r>
        <w:t>, 11042 (2016).</w:t>
      </w:r>
    </w:p>
    <w:p w14:paraId="29F6295E" w14:textId="77777777" w:rsidR="00592ABC" w:rsidRDefault="00592ABC" w:rsidP="00592ABC">
      <w:pPr>
        <w:pStyle w:val="Bibliography"/>
      </w:pPr>
      <w:r>
        <w:t>12.</w:t>
      </w:r>
      <w:r>
        <w:tab/>
        <w:t xml:space="preserve">Tesfaw, A. T. </w:t>
      </w:r>
      <w:r>
        <w:rPr>
          <w:i/>
          <w:iCs/>
        </w:rPr>
        <w:t>et al.</w:t>
      </w:r>
      <w:r>
        <w:t xml:space="preserve"> Land-use and land-cover change shape the sustainability and impacts of protected areas. </w:t>
      </w:r>
      <w:r>
        <w:rPr>
          <w:i/>
          <w:iCs/>
        </w:rPr>
        <w:t>Proc. Natl. Acad. Sci.</w:t>
      </w:r>
      <w:r>
        <w:t xml:space="preserve"> </w:t>
      </w:r>
      <w:r>
        <w:rPr>
          <w:b/>
          <w:bCs/>
        </w:rPr>
        <w:t>115</w:t>
      </w:r>
      <w:r>
        <w:t>, 2084–2089 (2018).</w:t>
      </w:r>
    </w:p>
    <w:p w14:paraId="639DB178" w14:textId="77777777" w:rsidR="00592ABC" w:rsidRDefault="00592ABC" w:rsidP="00592ABC">
      <w:pPr>
        <w:pStyle w:val="Bibliography"/>
      </w:pPr>
      <w:r>
        <w:t>13.</w:t>
      </w:r>
      <w:r>
        <w:tab/>
        <w:t xml:space="preserve">Maxwell, S. L. </w:t>
      </w:r>
      <w:r>
        <w:rPr>
          <w:i/>
          <w:iCs/>
        </w:rPr>
        <w:t>et al.</w:t>
      </w:r>
      <w:r>
        <w:t xml:space="preserve"> Conservation implications of ecological responses to extreme weather and climate events. </w:t>
      </w:r>
      <w:r>
        <w:rPr>
          <w:i/>
          <w:iCs/>
        </w:rPr>
        <w:t>Divers. Distrib.</w:t>
      </w:r>
      <w:r>
        <w:t xml:space="preserve"> </w:t>
      </w:r>
      <w:r>
        <w:rPr>
          <w:b/>
          <w:bCs/>
        </w:rPr>
        <w:t>25</w:t>
      </w:r>
      <w:r>
        <w:t>, 613–625 (2019).</w:t>
      </w:r>
    </w:p>
    <w:p w14:paraId="33AE3CE2" w14:textId="77777777" w:rsidR="00592ABC" w:rsidRDefault="00592ABC" w:rsidP="00592ABC">
      <w:pPr>
        <w:pStyle w:val="Bibliography"/>
      </w:pPr>
      <w:r>
        <w:t>14.</w:t>
      </w:r>
      <w:r>
        <w:tab/>
        <w:t xml:space="preserve">McBride, M. F., Wilson, K. A., Bode, M. &amp; Possingham, H. P. Incorporating the effects of socioeconomic uncertainty into priority setting for conservation investment. </w:t>
      </w:r>
      <w:r>
        <w:rPr>
          <w:i/>
          <w:iCs/>
        </w:rPr>
        <w:t>Conserv. Biol.</w:t>
      </w:r>
      <w:r>
        <w:t xml:space="preserve"> </w:t>
      </w:r>
      <w:r>
        <w:rPr>
          <w:b/>
          <w:bCs/>
        </w:rPr>
        <w:t>21</w:t>
      </w:r>
      <w:r>
        <w:t>, 1463–1474 (2007).</w:t>
      </w:r>
    </w:p>
    <w:p w14:paraId="3E628058" w14:textId="77777777" w:rsidR="00592ABC" w:rsidRDefault="00592ABC" w:rsidP="00592ABC">
      <w:pPr>
        <w:pStyle w:val="Bibliography"/>
      </w:pPr>
      <w:r>
        <w:t>15.</w:t>
      </w:r>
      <w:r>
        <w:tab/>
        <w:t xml:space="preserve">Alagador, D., Cerdeira, J. O. &amp; Araújo, M. B. Shifting protected areas: scheduling spatial priorities under climate change. </w:t>
      </w:r>
      <w:r>
        <w:rPr>
          <w:i/>
          <w:iCs/>
        </w:rPr>
        <w:t>J. Appl. Ecol.</w:t>
      </w:r>
      <w:r>
        <w:t xml:space="preserve"> </w:t>
      </w:r>
      <w:r>
        <w:rPr>
          <w:b/>
          <w:bCs/>
        </w:rPr>
        <w:t>51</w:t>
      </w:r>
      <w:r>
        <w:t>, 703–713 (2014).</w:t>
      </w:r>
    </w:p>
    <w:p w14:paraId="63E28C6E" w14:textId="77777777" w:rsidR="00592ABC" w:rsidRDefault="00592ABC" w:rsidP="00592ABC">
      <w:pPr>
        <w:pStyle w:val="Bibliography"/>
      </w:pPr>
      <w:r>
        <w:t>16.</w:t>
      </w:r>
      <w:r>
        <w:tab/>
        <w:t xml:space="preserve">McGowan, J. </w:t>
      </w:r>
      <w:r>
        <w:rPr>
          <w:i/>
          <w:iCs/>
        </w:rPr>
        <w:t>et al.</w:t>
      </w:r>
      <w:r>
        <w:t xml:space="preserve"> Prioritizing debt conversion opportunities for marine conservation. </w:t>
      </w:r>
      <w:r>
        <w:rPr>
          <w:i/>
          <w:iCs/>
        </w:rPr>
        <w:t>Conserv. Biol.</w:t>
      </w:r>
      <w:r>
        <w:t xml:space="preserve"> </w:t>
      </w:r>
      <w:r>
        <w:rPr>
          <w:b/>
          <w:bCs/>
        </w:rPr>
        <w:t>34</w:t>
      </w:r>
      <w:r>
        <w:t>, 1065–1075 (2020).</w:t>
      </w:r>
    </w:p>
    <w:p w14:paraId="05323759" w14:textId="77777777" w:rsidR="00592ABC" w:rsidRDefault="00592ABC" w:rsidP="00592ABC">
      <w:pPr>
        <w:pStyle w:val="Bibliography"/>
      </w:pPr>
      <w:r>
        <w:t>17.</w:t>
      </w:r>
      <w:r>
        <w:tab/>
        <w:t xml:space="preserve">Kuempel, C. D., Jones, K. R., Watson, J. E. M. &amp; Possingham, H. P. Quantifying biases in marine-protected-area placement relative to abatable threats. </w:t>
      </w:r>
      <w:r>
        <w:rPr>
          <w:i/>
          <w:iCs/>
        </w:rPr>
        <w:t>Conserv. Biol.</w:t>
      </w:r>
      <w:r>
        <w:t xml:space="preserve"> </w:t>
      </w:r>
      <w:r>
        <w:rPr>
          <w:b/>
          <w:bCs/>
        </w:rPr>
        <w:t>33</w:t>
      </w:r>
      <w:r>
        <w:t>, 1350–1359 (2019).</w:t>
      </w:r>
    </w:p>
    <w:p w14:paraId="72820D92" w14:textId="77777777" w:rsidR="00592ABC" w:rsidRDefault="00592ABC" w:rsidP="00592ABC">
      <w:pPr>
        <w:pStyle w:val="Bibliography"/>
      </w:pPr>
      <w:r>
        <w:t>18.</w:t>
      </w:r>
      <w:r>
        <w:tab/>
        <w:t xml:space="preserve">Kaufmann, D., Kraay, A. &amp; Mastruzzi, M. The Worldwide Governance Indicators: Methodology and Analytical Issues1. </w:t>
      </w:r>
      <w:r>
        <w:rPr>
          <w:i/>
          <w:iCs/>
        </w:rPr>
        <w:t>Hague J. Rule Law</w:t>
      </w:r>
      <w:r>
        <w:t xml:space="preserve"> </w:t>
      </w:r>
      <w:r>
        <w:rPr>
          <w:b/>
          <w:bCs/>
        </w:rPr>
        <w:t>3</w:t>
      </w:r>
      <w:r>
        <w:t>, 220–246 (2011).</w:t>
      </w:r>
    </w:p>
    <w:p w14:paraId="024F9BBE" w14:textId="77777777" w:rsidR="00592ABC" w:rsidRDefault="00592ABC" w:rsidP="00592ABC">
      <w:pPr>
        <w:pStyle w:val="Bibliography"/>
      </w:pPr>
      <w:r>
        <w:t>19.</w:t>
      </w:r>
      <w:r>
        <w:tab/>
        <w:t xml:space="preserve">Kehoe, L. </w:t>
      </w:r>
      <w:r>
        <w:rPr>
          <w:i/>
          <w:iCs/>
        </w:rPr>
        <w:t>et al.</w:t>
      </w:r>
      <w:r>
        <w:t xml:space="preserve"> Biodiversity at risk under future cropland expansion and intensification. </w:t>
      </w:r>
      <w:r>
        <w:rPr>
          <w:i/>
          <w:iCs/>
        </w:rPr>
        <w:t>Nat. Ecol. Evol.</w:t>
      </w:r>
      <w:r>
        <w:t xml:space="preserve"> </w:t>
      </w:r>
      <w:r>
        <w:rPr>
          <w:b/>
          <w:bCs/>
        </w:rPr>
        <w:t>1</w:t>
      </w:r>
      <w:r>
        <w:t>, 1129–1135 (2017).</w:t>
      </w:r>
    </w:p>
    <w:p w14:paraId="43168BAF" w14:textId="77777777" w:rsidR="00592ABC" w:rsidRDefault="00592ABC" w:rsidP="00592ABC">
      <w:pPr>
        <w:pStyle w:val="Bibliography"/>
      </w:pPr>
      <w:r>
        <w:t>20.</w:t>
      </w:r>
      <w:r>
        <w:tab/>
        <w:t xml:space="preserve">La Sorte, F. A. &amp; Johnston, A. Global trends in the frequency and duration of temperature extremes. </w:t>
      </w:r>
      <w:r>
        <w:rPr>
          <w:i/>
          <w:iCs/>
        </w:rPr>
        <w:t>Clim. Change Rev.</w:t>
      </w:r>
    </w:p>
    <w:p w14:paraId="52F9933D" w14:textId="77777777" w:rsidR="00592ABC" w:rsidRDefault="00592ABC" w:rsidP="00592ABC">
      <w:pPr>
        <w:pStyle w:val="Bibliography"/>
      </w:pPr>
      <w:r>
        <w:t>21.</w:t>
      </w:r>
      <w:r>
        <w:tab/>
        <w:t xml:space="preserve">Garcia, R. A., Cabeza, M., Rahbek, C. &amp; Araújo, M. B. Multiple dimensions of climate change and their implications for biodiversity. </w:t>
      </w:r>
      <w:r>
        <w:rPr>
          <w:i/>
          <w:iCs/>
        </w:rPr>
        <w:t>Science</w:t>
      </w:r>
      <w:r>
        <w:t xml:space="preserve"> </w:t>
      </w:r>
      <w:r>
        <w:rPr>
          <w:b/>
          <w:bCs/>
        </w:rPr>
        <w:t>344</w:t>
      </w:r>
      <w:r>
        <w:t>, 1247579 (2014).</w:t>
      </w:r>
    </w:p>
    <w:p w14:paraId="4B9273C2" w14:textId="77777777" w:rsidR="00592ABC" w:rsidRDefault="00592ABC" w:rsidP="00592ABC">
      <w:pPr>
        <w:pStyle w:val="Bibliography"/>
      </w:pPr>
      <w:r>
        <w:t>22.</w:t>
      </w:r>
      <w:r>
        <w:tab/>
        <w:t>IUCN. The IUCN Red List of Threatened Species. version 1.18. (2019).</w:t>
      </w:r>
    </w:p>
    <w:p w14:paraId="4C6FC932" w14:textId="77777777" w:rsidR="00592ABC" w:rsidRDefault="00592ABC" w:rsidP="00592ABC">
      <w:pPr>
        <w:pStyle w:val="Bibliography"/>
      </w:pPr>
      <w:r>
        <w:t>23.</w:t>
      </w:r>
      <w:r>
        <w:tab/>
        <w:t xml:space="preserve">Margules, C. R. &amp; Pressey, R. L. Systematic conservation planning. </w:t>
      </w:r>
      <w:r>
        <w:rPr>
          <w:i/>
          <w:iCs/>
        </w:rPr>
        <w:t>Nature</w:t>
      </w:r>
      <w:r>
        <w:t xml:space="preserve"> </w:t>
      </w:r>
      <w:r>
        <w:rPr>
          <w:b/>
          <w:bCs/>
        </w:rPr>
        <w:t>405</w:t>
      </w:r>
      <w:r>
        <w:t>, 243–53 (2000).</w:t>
      </w:r>
    </w:p>
    <w:p w14:paraId="77865655" w14:textId="77777777" w:rsidR="00592ABC" w:rsidRDefault="00592ABC" w:rsidP="00592ABC">
      <w:pPr>
        <w:pStyle w:val="Bibliography"/>
      </w:pPr>
      <w:r>
        <w:t>24.</w:t>
      </w:r>
      <w:r>
        <w:tab/>
        <w:t xml:space="preserve">Moilanen, A., Wilson, K. &amp; Possingham, H. </w:t>
      </w:r>
      <w:r>
        <w:rPr>
          <w:i/>
          <w:iCs/>
        </w:rPr>
        <w:t>Spatial conservation prioritization: quantitative methods and computational tools</w:t>
      </w:r>
      <w:r>
        <w:t>. (Oxford University Press, 2009).</w:t>
      </w:r>
    </w:p>
    <w:p w14:paraId="77AAEC8B" w14:textId="77777777" w:rsidR="00592ABC" w:rsidRDefault="00592ABC" w:rsidP="00592ABC">
      <w:pPr>
        <w:pStyle w:val="Bibliography"/>
      </w:pPr>
      <w:r>
        <w:t>25.</w:t>
      </w:r>
      <w:r>
        <w:tab/>
        <w:t xml:space="preserve">Ball, I. R. R., Possingham, H. P. P. &amp; Watts, M. E. E. Marxan and relatives: Software for spatial conservation prioritisation. in </w:t>
      </w:r>
      <w:r>
        <w:rPr>
          <w:i/>
          <w:iCs/>
        </w:rPr>
        <w:t>Spatial conservation prioritisation: Quantitative methods and computational tools.</w:t>
      </w:r>
      <w:r>
        <w:t xml:space="preserve"> (eds. Moilanen, A., Wilson, K. &amp; Possingham, H. P.) 185–195 (Oxford University Press, 2009).</w:t>
      </w:r>
    </w:p>
    <w:p w14:paraId="73417F76" w14:textId="77777777" w:rsidR="00592ABC" w:rsidRDefault="00592ABC" w:rsidP="00592ABC">
      <w:pPr>
        <w:pStyle w:val="Bibliography"/>
      </w:pPr>
      <w:r>
        <w:t>26.</w:t>
      </w:r>
      <w:r>
        <w:tab/>
        <w:t xml:space="preserve">Deb, K. Multi-objective optimization. in </w:t>
      </w:r>
      <w:r>
        <w:rPr>
          <w:i/>
          <w:iCs/>
        </w:rPr>
        <w:t>Search methodologies</w:t>
      </w:r>
      <w:r>
        <w:t xml:space="preserve"> 403–449 (Springer, 2014).</w:t>
      </w:r>
    </w:p>
    <w:p w14:paraId="32C3D285" w14:textId="77777777" w:rsidR="00592ABC" w:rsidRDefault="00592ABC" w:rsidP="00592ABC">
      <w:pPr>
        <w:pStyle w:val="Bibliography"/>
      </w:pPr>
      <w:r>
        <w:t>27.</w:t>
      </w:r>
      <w:r>
        <w:tab/>
        <w:t xml:space="preserve">Post-2020 Global Biodiversity Framework. </w:t>
      </w:r>
      <w:r>
        <w:rPr>
          <w:i/>
          <w:iCs/>
        </w:rPr>
        <w:t>IUCN</w:t>
      </w:r>
      <w:r>
        <w:t xml:space="preserve"> https://www.iucn.org/theme/global-policy/our-work/convention-biological-diversity-cbd/post-2020-global-biodiversity-framework (2018).</w:t>
      </w:r>
    </w:p>
    <w:p w14:paraId="1D700D83" w14:textId="77777777" w:rsidR="00592ABC" w:rsidRDefault="00592ABC" w:rsidP="00592ABC">
      <w:pPr>
        <w:pStyle w:val="Bibliography"/>
      </w:pPr>
      <w:r>
        <w:t>28.</w:t>
      </w:r>
      <w:r>
        <w:tab/>
        <w:t xml:space="preserve">Myers, N., Mittermeier, R. A., Mittermeier, C. G., da Fonseca, G. A. B. &amp; Kent, J. Biodiversity hotspots for conservation priorities. </w:t>
      </w:r>
      <w:r>
        <w:rPr>
          <w:i/>
          <w:iCs/>
        </w:rPr>
        <w:t>Nature</w:t>
      </w:r>
      <w:r>
        <w:t xml:space="preserve"> </w:t>
      </w:r>
      <w:r>
        <w:rPr>
          <w:b/>
          <w:bCs/>
        </w:rPr>
        <w:t>403</w:t>
      </w:r>
      <w:r>
        <w:t>, 853–858 (2000).</w:t>
      </w:r>
    </w:p>
    <w:p w14:paraId="6EC32238" w14:textId="77777777" w:rsidR="00592ABC" w:rsidRDefault="00592ABC" w:rsidP="00592ABC">
      <w:pPr>
        <w:pStyle w:val="Bibliography"/>
      </w:pPr>
      <w:r>
        <w:t>29.</w:t>
      </w:r>
      <w:r>
        <w:tab/>
        <w:t xml:space="preserve">Dallimer, M. &amp; Strange, N. Why socio-political borders and boundaries matter in conservation. </w:t>
      </w:r>
      <w:r>
        <w:rPr>
          <w:i/>
          <w:iCs/>
        </w:rPr>
        <w:t>Trends Ecol. Evol.</w:t>
      </w:r>
      <w:r>
        <w:t xml:space="preserve"> </w:t>
      </w:r>
      <w:r>
        <w:rPr>
          <w:b/>
          <w:bCs/>
        </w:rPr>
        <w:t>30</w:t>
      </w:r>
      <w:r>
        <w:t>, 132–139 (2015).</w:t>
      </w:r>
    </w:p>
    <w:p w14:paraId="4F04B10F" w14:textId="77777777" w:rsidR="00592ABC" w:rsidRDefault="00592ABC" w:rsidP="00592ABC">
      <w:pPr>
        <w:pStyle w:val="Bibliography"/>
      </w:pPr>
      <w:r>
        <w:t>30.</w:t>
      </w:r>
      <w:r>
        <w:tab/>
        <w:t xml:space="preserve">International), B. I. (BirdLife. IUCN Red List of Threatened Species: Ara ambiguus. </w:t>
      </w:r>
      <w:r>
        <w:rPr>
          <w:i/>
          <w:iCs/>
        </w:rPr>
        <w:t>IUCN Red List of Threatened Species</w:t>
      </w:r>
      <w:r>
        <w:t xml:space="preserve"> https://www.iucnredlist.org/en (2016).</w:t>
      </w:r>
    </w:p>
    <w:p w14:paraId="020969E4" w14:textId="77777777" w:rsidR="00592ABC" w:rsidRDefault="00592ABC" w:rsidP="00592ABC">
      <w:pPr>
        <w:pStyle w:val="Bibliography"/>
      </w:pPr>
      <w:r>
        <w:t>31.</w:t>
      </w:r>
      <w:r>
        <w:tab/>
        <w:t xml:space="preserve">Miller, R. L., Marsh, H., Benham, C. &amp; Hamann, M. A framework for improving the cross-jurisdictional governance of a marine migratory species. </w:t>
      </w:r>
      <w:r>
        <w:rPr>
          <w:i/>
          <w:iCs/>
        </w:rPr>
        <w:t>Conserv. Sci. Pract.</w:t>
      </w:r>
      <w:r>
        <w:t xml:space="preserve"> </w:t>
      </w:r>
      <w:r>
        <w:rPr>
          <w:b/>
          <w:bCs/>
        </w:rPr>
        <w:t>1</w:t>
      </w:r>
      <w:r>
        <w:t>, e58 (2019).</w:t>
      </w:r>
    </w:p>
    <w:p w14:paraId="3E2FF059" w14:textId="77777777" w:rsidR="00592ABC" w:rsidRDefault="00592ABC" w:rsidP="00592ABC">
      <w:pPr>
        <w:pStyle w:val="Bibliography"/>
      </w:pPr>
      <w:r>
        <w:t>32.</w:t>
      </w:r>
      <w:r>
        <w:tab/>
        <w:t xml:space="preserve">Martin, A., McGuire, S. &amp; Sullivan, S. Global environmental justice and biodiversity conservation. </w:t>
      </w:r>
      <w:r>
        <w:rPr>
          <w:i/>
          <w:iCs/>
        </w:rPr>
        <w:t>Geogr. J.</w:t>
      </w:r>
      <w:r>
        <w:t xml:space="preserve"> </w:t>
      </w:r>
      <w:r>
        <w:rPr>
          <w:b/>
          <w:bCs/>
        </w:rPr>
        <w:t>179</w:t>
      </w:r>
      <w:r>
        <w:t>, 122–131 (2013).</w:t>
      </w:r>
    </w:p>
    <w:p w14:paraId="502459BB" w14:textId="77777777" w:rsidR="00592ABC" w:rsidRDefault="00592ABC" w:rsidP="00592ABC">
      <w:pPr>
        <w:pStyle w:val="Bibliography"/>
      </w:pPr>
      <w:r>
        <w:t>33.</w:t>
      </w:r>
      <w:r>
        <w:tab/>
        <w:t xml:space="preserve">Geldmann, J., Manica, A., Burgess, N. D., Coad, L. &amp; Balmford, A. A global-level assessment of the effectiveness of protected areas at resisting anthropogenic pressures. </w:t>
      </w:r>
      <w:r>
        <w:rPr>
          <w:i/>
          <w:iCs/>
        </w:rPr>
        <w:t>Proc. Natl. Acad. Sci.</w:t>
      </w:r>
      <w:r>
        <w:t xml:space="preserve"> </w:t>
      </w:r>
      <w:r>
        <w:rPr>
          <w:b/>
          <w:bCs/>
        </w:rPr>
        <w:t>116</w:t>
      </w:r>
      <w:r>
        <w:t>, 23209–23215 (2019).</w:t>
      </w:r>
    </w:p>
    <w:p w14:paraId="1D932BC9" w14:textId="77777777" w:rsidR="00592ABC" w:rsidRDefault="00592ABC" w:rsidP="00592ABC">
      <w:pPr>
        <w:pStyle w:val="Bibliography"/>
      </w:pPr>
      <w:r>
        <w:t>34.</w:t>
      </w:r>
      <w:r>
        <w:tab/>
        <w:t xml:space="preserve">Eklund, J. F. &amp; Cabeza-Jaimejuan, M. D. M. Quality of governance and effectiveness of protected areas: crucial concepts for conservation planning. </w:t>
      </w:r>
      <w:r>
        <w:rPr>
          <w:i/>
          <w:iCs/>
        </w:rPr>
        <w:t>Ann. N. Y. Acad. Sci.</w:t>
      </w:r>
      <w:r>
        <w:t xml:space="preserve"> (2017).</w:t>
      </w:r>
    </w:p>
    <w:p w14:paraId="3203711F" w14:textId="77777777" w:rsidR="00592ABC" w:rsidRDefault="00592ABC" w:rsidP="00592ABC">
      <w:pPr>
        <w:pStyle w:val="Bibliography"/>
      </w:pPr>
      <w:r>
        <w:t>35.</w:t>
      </w:r>
      <w:r>
        <w:tab/>
        <w:t xml:space="preserve">Di Minin, E. </w:t>
      </w:r>
      <w:r>
        <w:rPr>
          <w:i/>
          <w:iCs/>
        </w:rPr>
        <w:t>et al.</w:t>
      </w:r>
      <w:r>
        <w:t xml:space="preserve"> Global priorities for national carnivore conservation under land use change. </w:t>
      </w:r>
      <w:r>
        <w:rPr>
          <w:i/>
          <w:iCs/>
        </w:rPr>
        <w:t>Sci. Rep.</w:t>
      </w:r>
      <w:r>
        <w:t xml:space="preserve"> </w:t>
      </w:r>
      <w:r>
        <w:rPr>
          <w:b/>
          <w:bCs/>
        </w:rPr>
        <w:t>6</w:t>
      </w:r>
      <w:r>
        <w:t>, 23814 (2016).</w:t>
      </w:r>
    </w:p>
    <w:p w14:paraId="49178774" w14:textId="77777777" w:rsidR="00592ABC" w:rsidRDefault="00592ABC" w:rsidP="00592ABC">
      <w:pPr>
        <w:pStyle w:val="Bibliography"/>
      </w:pPr>
      <w:r>
        <w:t>36.</w:t>
      </w:r>
      <w:r>
        <w:tab/>
        <w:t xml:space="preserve">Williams, J. W., Jackson, S. T. &amp; Kutzbach, J. E. Projected distributions of novel and disappearing climates by 2100 AD. </w:t>
      </w:r>
      <w:r>
        <w:rPr>
          <w:i/>
          <w:iCs/>
        </w:rPr>
        <w:t>Proc. Natl. Acad. Sci.</w:t>
      </w:r>
      <w:r>
        <w:t xml:space="preserve"> </w:t>
      </w:r>
      <w:r>
        <w:rPr>
          <w:b/>
          <w:bCs/>
        </w:rPr>
        <w:t>104</w:t>
      </w:r>
      <w:r>
        <w:t>, 5738–5742 (2007).</w:t>
      </w:r>
    </w:p>
    <w:p w14:paraId="26B45B23" w14:textId="77777777" w:rsidR="00592ABC" w:rsidRDefault="00592ABC" w:rsidP="00592ABC">
      <w:pPr>
        <w:pStyle w:val="Bibliography"/>
      </w:pPr>
      <w:r>
        <w:t>37.</w:t>
      </w:r>
      <w:r>
        <w:tab/>
        <w:t xml:space="preserve">Kelly, L. T. </w:t>
      </w:r>
      <w:r>
        <w:rPr>
          <w:i/>
          <w:iCs/>
        </w:rPr>
        <w:t>et al.</w:t>
      </w:r>
      <w:r>
        <w:t xml:space="preserve"> Fire and biodiversity in the Anthropocene. </w:t>
      </w:r>
      <w:r>
        <w:rPr>
          <w:i/>
          <w:iCs/>
        </w:rPr>
        <w:t>Science</w:t>
      </w:r>
      <w:r>
        <w:t xml:space="preserve"> </w:t>
      </w:r>
      <w:r>
        <w:rPr>
          <w:b/>
          <w:bCs/>
        </w:rPr>
        <w:t>370</w:t>
      </w:r>
      <w:r>
        <w:t>, (2020).</w:t>
      </w:r>
    </w:p>
    <w:p w14:paraId="70191A10" w14:textId="77777777" w:rsidR="00592ABC" w:rsidRDefault="00592ABC" w:rsidP="00592ABC">
      <w:pPr>
        <w:pStyle w:val="Bibliography"/>
      </w:pPr>
      <w:r>
        <w:t>38.</w:t>
      </w:r>
      <w:r>
        <w:tab/>
        <w:t xml:space="preserve">Hartigan, J. A. &amp; Wong, M. A. Algorithm AS 136: A K-Means Clustering Algorithm. </w:t>
      </w:r>
      <w:r>
        <w:rPr>
          <w:i/>
          <w:iCs/>
        </w:rPr>
        <w:t>J. R. Stat. Soc. Ser. C Appl. Stat.</w:t>
      </w:r>
      <w:r>
        <w:t xml:space="preserve"> </w:t>
      </w:r>
      <w:r>
        <w:rPr>
          <w:b/>
          <w:bCs/>
        </w:rPr>
        <w:t>28</w:t>
      </w:r>
      <w:r>
        <w:t>, 100–108 (1979).</w:t>
      </w:r>
    </w:p>
    <w:p w14:paraId="0E09DB8A" w14:textId="77777777" w:rsidR="00592ABC" w:rsidRDefault="00592ABC" w:rsidP="00592ABC">
      <w:pPr>
        <w:pStyle w:val="Bibliography"/>
      </w:pPr>
      <w:r>
        <w:t>39.</w:t>
      </w:r>
      <w:r>
        <w:tab/>
        <w:t xml:space="preserve">Eisenhauer, N., Bonn, A. &amp; A. Guerra, C. Recognizing the quiet extinction of invertebrates. </w:t>
      </w:r>
      <w:r>
        <w:rPr>
          <w:i/>
          <w:iCs/>
        </w:rPr>
        <w:t>Nat. Commun.</w:t>
      </w:r>
      <w:r>
        <w:t xml:space="preserve"> </w:t>
      </w:r>
      <w:r>
        <w:rPr>
          <w:b/>
          <w:bCs/>
        </w:rPr>
        <w:t>10</w:t>
      </w:r>
      <w:r>
        <w:t>, 1–3 (2019).</w:t>
      </w:r>
    </w:p>
    <w:p w14:paraId="2B37FD33" w14:textId="77777777" w:rsidR="00592ABC" w:rsidRDefault="00592ABC" w:rsidP="00592ABC">
      <w:pPr>
        <w:pStyle w:val="Bibliography"/>
      </w:pPr>
      <w:r>
        <w:t>40.</w:t>
      </w:r>
      <w:r>
        <w:tab/>
        <w:t xml:space="preserve">Le Saout, S. </w:t>
      </w:r>
      <w:r>
        <w:rPr>
          <w:i/>
          <w:iCs/>
        </w:rPr>
        <w:t>et al.</w:t>
      </w:r>
      <w:r>
        <w:t xml:space="preserve"> Protected areas and effective biodiversity conservation. </w:t>
      </w:r>
      <w:r>
        <w:rPr>
          <w:i/>
          <w:iCs/>
        </w:rPr>
        <w:t>Science</w:t>
      </w:r>
      <w:r>
        <w:t xml:space="preserve"> </w:t>
      </w:r>
      <w:r>
        <w:rPr>
          <w:b/>
          <w:bCs/>
        </w:rPr>
        <w:t>342</w:t>
      </w:r>
      <w:r>
        <w:t>, 803–805 (2013).</w:t>
      </w:r>
    </w:p>
    <w:p w14:paraId="1DF94C9F" w14:textId="77777777" w:rsidR="00592ABC" w:rsidRDefault="00592ABC" w:rsidP="00592ABC">
      <w:pPr>
        <w:pStyle w:val="Bibliography"/>
      </w:pPr>
      <w:r>
        <w:t>41.</w:t>
      </w:r>
      <w:r>
        <w:tab/>
        <w:t xml:space="preserve">Butchart, S. H. M. </w:t>
      </w:r>
      <w:r>
        <w:rPr>
          <w:i/>
          <w:iCs/>
        </w:rPr>
        <w:t>et al.</w:t>
      </w:r>
      <w:r>
        <w:t xml:space="preserve"> Shortfalls and Solutions for Meeting National and Global Conservation Area Targets. </w:t>
      </w:r>
      <w:r>
        <w:rPr>
          <w:i/>
          <w:iCs/>
        </w:rPr>
        <w:t>Conserv. Lett.</w:t>
      </w:r>
      <w:r>
        <w:t xml:space="preserve"> </w:t>
      </w:r>
      <w:r>
        <w:rPr>
          <w:b/>
          <w:bCs/>
        </w:rPr>
        <w:t>8</w:t>
      </w:r>
      <w:r>
        <w:t>, 329–337 (2015).</w:t>
      </w:r>
    </w:p>
    <w:p w14:paraId="7FFD20FC" w14:textId="77777777" w:rsidR="00592ABC" w:rsidRDefault="00592ABC" w:rsidP="00592ABC">
      <w:pPr>
        <w:pStyle w:val="Bibliography"/>
      </w:pPr>
      <w:r>
        <w:t>42.</w:t>
      </w:r>
      <w:r>
        <w:tab/>
        <w:t xml:space="preserve">Planet, P. Calculating protected area coverage. </w:t>
      </w:r>
      <w:r>
        <w:rPr>
          <w:i/>
          <w:iCs/>
        </w:rPr>
        <w:t>Protected Planet</w:t>
      </w:r>
      <w:r>
        <w:t xml:space="preserve"> https://www.protectedplanet.net/c/calculating-protected-area-coverage.</w:t>
      </w:r>
    </w:p>
    <w:p w14:paraId="2CE770B7" w14:textId="77777777" w:rsidR="00592ABC" w:rsidRDefault="00592ABC" w:rsidP="00592ABC">
      <w:pPr>
        <w:pStyle w:val="Bibliography"/>
      </w:pPr>
      <w:r>
        <w:t>43.</w:t>
      </w:r>
      <w:r>
        <w:tab/>
        <w:t xml:space="preserve">Coetzer, K. L., Witkowski, E. T. &amp; Erasmus, B. F. Reviewing B iosphere R eserves globally: effective conservation action or bureaucratic label? </w:t>
      </w:r>
      <w:r>
        <w:rPr>
          <w:i/>
          <w:iCs/>
        </w:rPr>
        <w:t>Biol. Rev.</w:t>
      </w:r>
      <w:r>
        <w:t xml:space="preserve"> </w:t>
      </w:r>
      <w:r>
        <w:rPr>
          <w:b/>
          <w:bCs/>
        </w:rPr>
        <w:t>89</w:t>
      </w:r>
      <w:r>
        <w:t>, 82–104 (2014).</w:t>
      </w:r>
    </w:p>
    <w:p w14:paraId="45DBD80C" w14:textId="77777777" w:rsidR="00592ABC" w:rsidRDefault="00592ABC" w:rsidP="00592ABC">
      <w:pPr>
        <w:pStyle w:val="Bibliography"/>
      </w:pPr>
      <w:r>
        <w:t>44.</w:t>
      </w:r>
      <w:r>
        <w:tab/>
        <w:t xml:space="preserve">Barnes, M. D. </w:t>
      </w:r>
      <w:r>
        <w:rPr>
          <w:i/>
          <w:iCs/>
        </w:rPr>
        <w:t>et al.</w:t>
      </w:r>
      <w:r>
        <w:t xml:space="preserve"> Wildlife population trends in protected areas predicted by national socio-economic metrics and body size. </w:t>
      </w:r>
      <w:r>
        <w:rPr>
          <w:i/>
          <w:iCs/>
        </w:rPr>
        <w:t>Nat. Commun.</w:t>
      </w:r>
      <w:r>
        <w:t xml:space="preserve"> </w:t>
      </w:r>
      <w:r>
        <w:rPr>
          <w:b/>
          <w:bCs/>
        </w:rPr>
        <w:t>7</w:t>
      </w:r>
      <w:r>
        <w:t>, 12747 (2016).</w:t>
      </w:r>
    </w:p>
    <w:p w14:paraId="1DFC2DB6" w14:textId="77777777" w:rsidR="00592ABC" w:rsidRDefault="00592ABC" w:rsidP="00592ABC">
      <w:pPr>
        <w:pStyle w:val="Bibliography"/>
      </w:pPr>
      <w:r>
        <w:t>45.</w:t>
      </w:r>
      <w:r>
        <w:tab/>
        <w:t xml:space="preserve">Asselen, S. van &amp; Verburg, P. H. A Land System representation for global assessments and land-use modeling. </w:t>
      </w:r>
      <w:r>
        <w:rPr>
          <w:i/>
          <w:iCs/>
        </w:rPr>
        <w:t>Glob. Change Biol.</w:t>
      </w:r>
      <w:r>
        <w:t xml:space="preserve"> </w:t>
      </w:r>
      <w:r>
        <w:rPr>
          <w:b/>
          <w:bCs/>
        </w:rPr>
        <w:t>18</w:t>
      </w:r>
      <w:r>
        <w:t>, 3125–3148 (2012).</w:t>
      </w:r>
    </w:p>
    <w:p w14:paraId="6E72616D" w14:textId="77777777" w:rsidR="00592ABC" w:rsidRDefault="00592ABC" w:rsidP="00592ABC">
      <w:pPr>
        <w:pStyle w:val="Bibliography"/>
      </w:pPr>
      <w:r>
        <w:t>46.</w:t>
      </w:r>
      <w:r>
        <w:tab/>
        <w:t xml:space="preserve">Hudson, L. N. </w:t>
      </w:r>
      <w:r>
        <w:rPr>
          <w:i/>
          <w:iCs/>
        </w:rPr>
        <w:t>et al.</w:t>
      </w:r>
      <w:r>
        <w:t xml:space="preserve"> The PREDICTS database: a global database of how local terrestrial biodiversity responds to human impacts. </w:t>
      </w:r>
      <w:r>
        <w:rPr>
          <w:i/>
          <w:iCs/>
        </w:rPr>
        <w:t>Ecol. Evol.</w:t>
      </w:r>
      <w:r>
        <w:t xml:space="preserve"> </w:t>
      </w:r>
      <w:r>
        <w:rPr>
          <w:b/>
          <w:bCs/>
        </w:rPr>
        <w:t>4</w:t>
      </w:r>
      <w:r>
        <w:t>, 4701–4735 (2014).</w:t>
      </w:r>
    </w:p>
    <w:p w14:paraId="35108949" w14:textId="77777777" w:rsidR="00592ABC" w:rsidRDefault="00592ABC" w:rsidP="00592ABC">
      <w:pPr>
        <w:pStyle w:val="Bibliography"/>
      </w:pPr>
      <w:r>
        <w:t>47.</w:t>
      </w:r>
      <w:r>
        <w:tab/>
        <w:t xml:space="preserve">Newbold, T. </w:t>
      </w:r>
      <w:r>
        <w:rPr>
          <w:i/>
          <w:iCs/>
        </w:rPr>
        <w:t>et al.</w:t>
      </w:r>
      <w:r>
        <w:t xml:space="preserve"> Global effects of land use on local terrestrial biodiversity. </w:t>
      </w:r>
      <w:r>
        <w:rPr>
          <w:i/>
          <w:iCs/>
        </w:rPr>
        <w:t>Nature</w:t>
      </w:r>
      <w:r>
        <w:t xml:space="preserve"> </w:t>
      </w:r>
      <w:r>
        <w:rPr>
          <w:b/>
          <w:bCs/>
        </w:rPr>
        <w:t>520</w:t>
      </w:r>
      <w:r>
        <w:t>, 45–50 (2015).</w:t>
      </w:r>
    </w:p>
    <w:p w14:paraId="566F8491" w14:textId="77777777" w:rsidR="00592ABC" w:rsidRDefault="00592ABC" w:rsidP="00592ABC">
      <w:pPr>
        <w:pStyle w:val="Bibliography"/>
      </w:pPr>
      <w:r>
        <w:t>48.</w:t>
      </w:r>
      <w:r>
        <w:tab/>
        <w:t xml:space="preserve">AghaKouchak, A. </w:t>
      </w:r>
      <w:r>
        <w:rPr>
          <w:i/>
          <w:iCs/>
        </w:rPr>
        <w:t>et al.</w:t>
      </w:r>
      <w:r>
        <w:t xml:space="preserve"> Climate Extremes and Compound Hazards in a Warming World. </w:t>
      </w:r>
      <w:r>
        <w:rPr>
          <w:i/>
          <w:iCs/>
        </w:rPr>
        <w:t>Annu. Rev. Earth Planet. Sci.</w:t>
      </w:r>
      <w:r>
        <w:t xml:space="preserve"> </w:t>
      </w:r>
      <w:r>
        <w:rPr>
          <w:b/>
          <w:bCs/>
        </w:rPr>
        <w:t>48</w:t>
      </w:r>
      <w:r>
        <w:t>, 519–548 (2020).</w:t>
      </w:r>
    </w:p>
    <w:p w14:paraId="0F3DA0B8" w14:textId="77777777" w:rsidR="00592ABC" w:rsidRDefault="00592ABC" w:rsidP="00592ABC">
      <w:pPr>
        <w:pStyle w:val="Bibliography"/>
      </w:pPr>
      <w:r>
        <w:t>49.</w:t>
      </w:r>
      <w:r>
        <w:tab/>
        <w:t xml:space="preserve">Diffenbaugh, N. S. </w:t>
      </w:r>
      <w:r>
        <w:rPr>
          <w:i/>
          <w:iCs/>
        </w:rPr>
        <w:t>et al.</w:t>
      </w:r>
      <w:r>
        <w:t xml:space="preserve"> Quantifying the influence of global warming on unprecedented extreme climate events. </w:t>
      </w:r>
      <w:r>
        <w:rPr>
          <w:i/>
          <w:iCs/>
        </w:rPr>
        <w:t>Proc. Natl. Acad. Sci.</w:t>
      </w:r>
      <w:r>
        <w:t xml:space="preserve"> </w:t>
      </w:r>
      <w:r>
        <w:rPr>
          <w:b/>
          <w:bCs/>
        </w:rPr>
        <w:t>114</w:t>
      </w:r>
      <w:r>
        <w:t>, 4881–4886 (2017).</w:t>
      </w:r>
    </w:p>
    <w:p w14:paraId="4A4B77DA" w14:textId="77777777" w:rsidR="00592ABC" w:rsidRDefault="00592ABC" w:rsidP="00592ABC">
      <w:pPr>
        <w:pStyle w:val="Bibliography"/>
      </w:pPr>
      <w:r>
        <w:t>50.</w:t>
      </w:r>
      <w:r>
        <w:tab/>
        <w:t xml:space="preserve">Anderson G. Brooke &amp; Bell Michelle L. Heat Waves in the United States: Mortality Risk during Heat Waves and Effect Modification by Heat Wave Characteristics in 43 U.S. Communities. </w:t>
      </w:r>
      <w:r>
        <w:rPr>
          <w:i/>
          <w:iCs/>
        </w:rPr>
        <w:t>Environ. Health Perspect.</w:t>
      </w:r>
      <w:r>
        <w:t xml:space="preserve"> </w:t>
      </w:r>
      <w:r>
        <w:rPr>
          <w:b/>
          <w:bCs/>
        </w:rPr>
        <w:t>119</w:t>
      </w:r>
      <w:r>
        <w:t>, 210–218 (2011).</w:t>
      </w:r>
    </w:p>
    <w:p w14:paraId="4C41CB33" w14:textId="77777777" w:rsidR="00592ABC" w:rsidRDefault="00592ABC" w:rsidP="00592ABC">
      <w:pPr>
        <w:pStyle w:val="Bibliography"/>
      </w:pPr>
      <w:r>
        <w:t>51.</w:t>
      </w:r>
      <w:r>
        <w:tab/>
        <w:t xml:space="preserve">Battisti, D. S. &amp; Naylor, R. L. Historical Warnings of Future Food Insecurity with Unprecedented Seasonal Heat. </w:t>
      </w:r>
      <w:r>
        <w:rPr>
          <w:i/>
          <w:iCs/>
        </w:rPr>
        <w:t>Science</w:t>
      </w:r>
      <w:r>
        <w:t xml:space="preserve"> </w:t>
      </w:r>
      <w:r>
        <w:rPr>
          <w:b/>
          <w:bCs/>
        </w:rPr>
        <w:t>323</w:t>
      </w:r>
      <w:r>
        <w:t>, 240–244 (2009).</w:t>
      </w:r>
    </w:p>
    <w:p w14:paraId="131D37AD" w14:textId="77777777" w:rsidR="00592ABC" w:rsidRDefault="00592ABC" w:rsidP="00592ABC">
      <w:pPr>
        <w:pStyle w:val="Bibliography"/>
      </w:pPr>
      <w:r>
        <w:t>52.</w:t>
      </w:r>
      <w:r>
        <w:tab/>
        <w:t xml:space="preserve">Mitchell, D. </w:t>
      </w:r>
      <w:r>
        <w:rPr>
          <w:i/>
          <w:iCs/>
        </w:rPr>
        <w:t>et al.</w:t>
      </w:r>
      <w:r>
        <w:t xml:space="preserve"> Attributing human mortality during extreme heat waves to anthropogenic climate change. </w:t>
      </w:r>
      <w:r>
        <w:rPr>
          <w:i/>
          <w:iCs/>
        </w:rPr>
        <w:t>Environ. Res. Lett.</w:t>
      </w:r>
      <w:r>
        <w:t xml:space="preserve"> </w:t>
      </w:r>
      <w:r>
        <w:rPr>
          <w:b/>
          <w:bCs/>
        </w:rPr>
        <w:t>11</w:t>
      </w:r>
      <w:r>
        <w:t>, 074006 (2016).</w:t>
      </w:r>
    </w:p>
    <w:p w14:paraId="62ED9AA6" w14:textId="77777777" w:rsidR="00592ABC" w:rsidRDefault="00592ABC" w:rsidP="00592ABC">
      <w:pPr>
        <w:pStyle w:val="Bibliography"/>
      </w:pPr>
      <w:r>
        <w:t>53.</w:t>
      </w:r>
      <w:r>
        <w:tab/>
        <w:t xml:space="preserve">Harris, R. M. B. </w:t>
      </w:r>
      <w:r>
        <w:rPr>
          <w:i/>
          <w:iCs/>
        </w:rPr>
        <w:t>et al.</w:t>
      </w:r>
      <w:r>
        <w:t xml:space="preserve"> Biological responses to the press and pulse of climate trends and extreme events. </w:t>
      </w:r>
      <w:r>
        <w:rPr>
          <w:i/>
          <w:iCs/>
        </w:rPr>
        <w:t>Nat. Clim. Change</w:t>
      </w:r>
      <w:r>
        <w:t xml:space="preserve"> </w:t>
      </w:r>
      <w:r>
        <w:rPr>
          <w:b/>
          <w:bCs/>
        </w:rPr>
        <w:t>8</w:t>
      </w:r>
      <w:r>
        <w:t>, 579–587 (2018).</w:t>
      </w:r>
    </w:p>
    <w:p w14:paraId="5052B1FD" w14:textId="77777777" w:rsidR="00592ABC" w:rsidRDefault="00592ABC" w:rsidP="00592ABC">
      <w:pPr>
        <w:pStyle w:val="Bibliography"/>
      </w:pPr>
      <w:r>
        <w:t>54.</w:t>
      </w:r>
      <w:r>
        <w:tab/>
        <w:t xml:space="preserve">Maron, M., McAlpine, C. A., Watson, J. E. M., Maxwell, S. &amp; Barnard, P. Climate-induced resource bottlenecks exacerbate species vulnerability: a review. </w:t>
      </w:r>
      <w:r>
        <w:rPr>
          <w:i/>
          <w:iCs/>
        </w:rPr>
        <w:t>Divers. Distrib.</w:t>
      </w:r>
      <w:r>
        <w:t xml:space="preserve"> </w:t>
      </w:r>
      <w:r>
        <w:rPr>
          <w:b/>
          <w:bCs/>
        </w:rPr>
        <w:t>21</w:t>
      </w:r>
      <w:r>
        <w:t>, 731–743 (2015).</w:t>
      </w:r>
    </w:p>
    <w:p w14:paraId="0F830F07" w14:textId="77777777" w:rsidR="00592ABC" w:rsidRDefault="00592ABC" w:rsidP="00592ABC">
      <w:pPr>
        <w:pStyle w:val="Bibliography"/>
      </w:pPr>
      <w:r>
        <w:t>55.</w:t>
      </w:r>
      <w:r>
        <w:tab/>
        <w:t xml:space="preserve">Grant, P. R. </w:t>
      </w:r>
      <w:r>
        <w:rPr>
          <w:i/>
          <w:iCs/>
        </w:rPr>
        <w:t>et al.</w:t>
      </w:r>
      <w:r>
        <w:t xml:space="preserve"> Evolution caused by extreme events. </w:t>
      </w:r>
      <w:r>
        <w:rPr>
          <w:i/>
          <w:iCs/>
        </w:rPr>
        <w:t>Philos. Trans. R. Soc. B Biol. Sci.</w:t>
      </w:r>
      <w:r>
        <w:t xml:space="preserve"> </w:t>
      </w:r>
      <w:r>
        <w:rPr>
          <w:b/>
          <w:bCs/>
        </w:rPr>
        <w:t>372</w:t>
      </w:r>
      <w:r>
        <w:t>, 20160146 (2017).</w:t>
      </w:r>
    </w:p>
    <w:p w14:paraId="31E44A66" w14:textId="77777777" w:rsidR="00592ABC" w:rsidRDefault="00592ABC" w:rsidP="00592ABC">
      <w:pPr>
        <w:pStyle w:val="Bibliography"/>
      </w:pPr>
      <w:r>
        <w:t>56.</w:t>
      </w:r>
      <w:r>
        <w:tab/>
        <w:t xml:space="preserve">Gutschick, V. P. &amp; BassiriRad, H. Extreme events as shaping physiology, ecology, and evolution of plants: toward a unified definition and evaluation of their consequences. </w:t>
      </w:r>
      <w:r>
        <w:rPr>
          <w:i/>
          <w:iCs/>
        </w:rPr>
        <w:t>New Phytol.</w:t>
      </w:r>
      <w:r>
        <w:t xml:space="preserve"> </w:t>
      </w:r>
      <w:r>
        <w:rPr>
          <w:b/>
          <w:bCs/>
        </w:rPr>
        <w:t>160</w:t>
      </w:r>
      <w:r>
        <w:t>, 21–42 (2003).</w:t>
      </w:r>
    </w:p>
    <w:p w14:paraId="1E06F024" w14:textId="77777777" w:rsidR="00592ABC" w:rsidRDefault="00592ABC" w:rsidP="00592ABC">
      <w:pPr>
        <w:pStyle w:val="Bibliography"/>
      </w:pPr>
      <w:r>
        <w:t>57.</w:t>
      </w:r>
      <w:r>
        <w:tab/>
        <w:t xml:space="preserve">Cremonese, E. </w:t>
      </w:r>
      <w:r>
        <w:rPr>
          <w:i/>
          <w:iCs/>
        </w:rPr>
        <w:t>et al.</w:t>
      </w:r>
      <w:r>
        <w:t xml:space="preserve"> Heat wave hinders green wave: The impact of climate extreme on the phenology of a mountain grassland. </w:t>
      </w:r>
      <w:r>
        <w:rPr>
          <w:i/>
          <w:iCs/>
        </w:rPr>
        <w:t>Agric. For. Meteorol.</w:t>
      </w:r>
      <w:r>
        <w:t xml:space="preserve"> </w:t>
      </w:r>
      <w:r>
        <w:rPr>
          <w:b/>
          <w:bCs/>
        </w:rPr>
        <w:t>247</w:t>
      </w:r>
      <w:r>
        <w:t>, 320–330 (2017).</w:t>
      </w:r>
    </w:p>
    <w:p w14:paraId="0B375AB1" w14:textId="77777777" w:rsidR="00592ABC" w:rsidRDefault="00592ABC" w:rsidP="00592ABC">
      <w:pPr>
        <w:pStyle w:val="Bibliography"/>
      </w:pPr>
      <w:r>
        <w:t>58.</w:t>
      </w:r>
      <w:r>
        <w:tab/>
        <w:t xml:space="preserve">Sorte, F. A. L., Hochachka, W. M., Farnsworth, A., Dhondt, A. A. &amp; Sheldon, D. The implications of mid-latitude climate extremes for North American migratory bird populations. </w:t>
      </w:r>
      <w:r>
        <w:rPr>
          <w:i/>
          <w:iCs/>
        </w:rPr>
        <w:t>Ecosphere</w:t>
      </w:r>
      <w:r>
        <w:t xml:space="preserve"> </w:t>
      </w:r>
      <w:r>
        <w:rPr>
          <w:b/>
          <w:bCs/>
        </w:rPr>
        <w:t>7</w:t>
      </w:r>
      <w:r>
        <w:t>, e01261 (2016).</w:t>
      </w:r>
    </w:p>
    <w:p w14:paraId="659EE1F5" w14:textId="77777777" w:rsidR="00592ABC" w:rsidRDefault="00592ABC" w:rsidP="00592ABC">
      <w:pPr>
        <w:pStyle w:val="Bibliography"/>
      </w:pPr>
      <w:r>
        <w:t>59.</w:t>
      </w:r>
      <w:r>
        <w:tab/>
        <w:t xml:space="preserve">Fenner, D., Holtmann, A., Krug, A. &amp; Scherer, D. Heat waves in Berlin and Potsdam, Germany – Long-term trends and comparison of heat wave definitions from 1893 to 2017. </w:t>
      </w:r>
      <w:r>
        <w:rPr>
          <w:i/>
          <w:iCs/>
        </w:rPr>
        <w:t>Int. J. Climatol.</w:t>
      </w:r>
      <w:r>
        <w:t xml:space="preserve"> </w:t>
      </w:r>
      <w:r>
        <w:rPr>
          <w:b/>
          <w:bCs/>
        </w:rPr>
        <w:t>39</w:t>
      </w:r>
      <w:r>
        <w:t>, 2422–2437 (2019).</w:t>
      </w:r>
    </w:p>
    <w:p w14:paraId="1B4F73E9" w14:textId="77777777" w:rsidR="00592ABC" w:rsidRDefault="00592ABC" w:rsidP="00592ABC">
      <w:pPr>
        <w:pStyle w:val="Bibliography"/>
      </w:pPr>
      <w:r>
        <w:t>60.</w:t>
      </w:r>
      <w:r>
        <w:tab/>
        <w:t xml:space="preserve">Smith, T. T., Zaitchik, B. F. &amp; Gohlke, J. M. Heat waves in the United States: definitions, patterns and trends. </w:t>
      </w:r>
      <w:r>
        <w:rPr>
          <w:i/>
          <w:iCs/>
        </w:rPr>
        <w:t>Clim. Change</w:t>
      </w:r>
      <w:r>
        <w:t xml:space="preserve"> </w:t>
      </w:r>
      <w:r>
        <w:rPr>
          <w:b/>
          <w:bCs/>
        </w:rPr>
        <w:t>118</w:t>
      </w:r>
      <w:r>
        <w:t>, 811–825 (2013).</w:t>
      </w:r>
    </w:p>
    <w:p w14:paraId="521E6771" w14:textId="77777777" w:rsidR="00592ABC" w:rsidRDefault="00592ABC" w:rsidP="00592ABC">
      <w:pPr>
        <w:pStyle w:val="Bibliography"/>
      </w:pPr>
      <w:r>
        <w:t>61.</w:t>
      </w:r>
      <w:r>
        <w:tab/>
        <w:t xml:space="preserve">McPhillips, L. E. </w:t>
      </w:r>
      <w:r>
        <w:rPr>
          <w:i/>
          <w:iCs/>
        </w:rPr>
        <w:t>et al.</w:t>
      </w:r>
      <w:r>
        <w:t xml:space="preserve"> Defining Extreme Events: A Cross-Disciplinary Review. </w:t>
      </w:r>
      <w:r>
        <w:rPr>
          <w:i/>
          <w:iCs/>
        </w:rPr>
        <w:t>Earths Future</w:t>
      </w:r>
      <w:r>
        <w:t xml:space="preserve"> </w:t>
      </w:r>
      <w:r>
        <w:rPr>
          <w:b/>
          <w:bCs/>
        </w:rPr>
        <w:t>6</w:t>
      </w:r>
      <w:r>
        <w:t>, 441–455 (2018).</w:t>
      </w:r>
    </w:p>
    <w:p w14:paraId="737343EC" w14:textId="77777777" w:rsidR="00592ABC" w:rsidRDefault="00592ABC" w:rsidP="00592ABC">
      <w:pPr>
        <w:pStyle w:val="Bibliography"/>
      </w:pPr>
      <w:r>
        <w:t>62.</w:t>
      </w:r>
      <w:r>
        <w:tab/>
        <w:t xml:space="preserve">Hersbach, H. </w:t>
      </w:r>
      <w:r>
        <w:rPr>
          <w:i/>
          <w:iCs/>
        </w:rPr>
        <w:t>et al.</w:t>
      </w:r>
      <w:r>
        <w:t xml:space="preserve"> Global reanalysis: goodbye ERA-Interim, hello ERA5. 17–24 (2019) doi:10.21957/vf291hehd7.</w:t>
      </w:r>
    </w:p>
    <w:p w14:paraId="2801A7D3" w14:textId="77777777" w:rsidR="00592ABC" w:rsidRDefault="00592ABC" w:rsidP="00592ABC">
      <w:pPr>
        <w:pStyle w:val="Bibliography"/>
      </w:pPr>
      <w:r>
        <w:t>63.</w:t>
      </w:r>
      <w:r>
        <w:tab/>
        <w:t xml:space="preserve">Hoffmann, L. </w:t>
      </w:r>
      <w:r>
        <w:rPr>
          <w:i/>
          <w:iCs/>
        </w:rPr>
        <w:t>et al.</w:t>
      </w:r>
      <w:r>
        <w:t xml:space="preserve"> From ERA-Interim to ERA5: the considerable impact of ECMWF’s next-generation reanalysis on Lagrangian transport simulations. </w:t>
      </w:r>
      <w:r>
        <w:rPr>
          <w:i/>
          <w:iCs/>
        </w:rPr>
        <w:t>Atmospheric Chem. Phys.</w:t>
      </w:r>
      <w:r>
        <w:t xml:space="preserve"> </w:t>
      </w:r>
      <w:r>
        <w:rPr>
          <w:b/>
          <w:bCs/>
        </w:rPr>
        <w:t>19</w:t>
      </w:r>
      <w:r>
        <w:t>, 3097–3124 (2019).</w:t>
      </w:r>
    </w:p>
    <w:p w14:paraId="6290237D" w14:textId="77777777" w:rsidR="00592ABC" w:rsidRDefault="00592ABC" w:rsidP="00592ABC">
      <w:pPr>
        <w:pStyle w:val="Bibliography"/>
      </w:pPr>
      <w:r>
        <w:t>64.</w:t>
      </w:r>
      <w:r>
        <w:tab/>
        <w:t xml:space="preserve">Huang, N. E. </w:t>
      </w:r>
      <w:r>
        <w:rPr>
          <w:i/>
          <w:iCs/>
        </w:rPr>
        <w:t>et al.</w:t>
      </w:r>
      <w:r>
        <w:t xml:space="preserve"> The empirical mode decomposition and the Hilbert spectrum for nonlinear and non-stationary time series analysis. </w:t>
      </w:r>
      <w:r>
        <w:rPr>
          <w:i/>
          <w:iCs/>
        </w:rPr>
        <w:t>Proc. R. Soc. Lond. Ser. Math. Phys. Eng. Sci.</w:t>
      </w:r>
      <w:r>
        <w:t xml:space="preserve"> </w:t>
      </w:r>
      <w:r>
        <w:rPr>
          <w:b/>
          <w:bCs/>
        </w:rPr>
        <w:t>454</w:t>
      </w:r>
      <w:r>
        <w:t>, 903–995 (1998).</w:t>
      </w:r>
    </w:p>
    <w:p w14:paraId="4EAE6A72" w14:textId="77777777" w:rsidR="00592ABC" w:rsidRDefault="00592ABC" w:rsidP="00592ABC">
      <w:pPr>
        <w:pStyle w:val="Bibliography"/>
      </w:pPr>
      <w:r>
        <w:t>65.</w:t>
      </w:r>
      <w:r>
        <w:tab/>
        <w:t xml:space="preserve">Wu, Z., Huang, N. E., Long, S. R. &amp; Peng, C.-K. On the trend, detrending, and variability of nonlinear and nonstationary time series. </w:t>
      </w:r>
      <w:r>
        <w:rPr>
          <w:i/>
          <w:iCs/>
        </w:rPr>
        <w:t>Proc. Natl. Acad. Sci.</w:t>
      </w:r>
      <w:r>
        <w:t xml:space="preserve"> </w:t>
      </w:r>
      <w:r>
        <w:rPr>
          <w:b/>
          <w:bCs/>
        </w:rPr>
        <w:t>104</w:t>
      </w:r>
      <w:r>
        <w:t>, 14889–14894 (2007).</w:t>
      </w:r>
    </w:p>
    <w:p w14:paraId="143670CE" w14:textId="77777777" w:rsidR="00592ABC" w:rsidRDefault="00592ABC" w:rsidP="00592ABC">
      <w:pPr>
        <w:pStyle w:val="Bibliography"/>
      </w:pPr>
      <w:r>
        <w:t>66.</w:t>
      </w:r>
      <w:r>
        <w:tab/>
        <w:t xml:space="preserve">Ferrari, S. &amp; Cribari-Neto, F. Beta Regression for Modelling Rates and Proportions. </w:t>
      </w:r>
      <w:r>
        <w:rPr>
          <w:i/>
          <w:iCs/>
        </w:rPr>
        <w:t>J. Appl. Stat.</w:t>
      </w:r>
      <w:r>
        <w:t xml:space="preserve"> </w:t>
      </w:r>
      <w:r>
        <w:rPr>
          <w:b/>
          <w:bCs/>
        </w:rPr>
        <w:t>31</w:t>
      </w:r>
      <w:r>
        <w:t>, 799–815 (2004).</w:t>
      </w:r>
    </w:p>
    <w:p w14:paraId="07925D11" w14:textId="77777777" w:rsidR="00592ABC" w:rsidRDefault="00592ABC" w:rsidP="00592ABC">
      <w:pPr>
        <w:pStyle w:val="Bibliography"/>
      </w:pPr>
      <w:r>
        <w:t>67.</w:t>
      </w:r>
      <w:r>
        <w:tab/>
        <w:t xml:space="preserve">Simas, A. B., Barreto-Souza, W. &amp; Rocha, A. V. Improved estimators for a general class of beta regression models. </w:t>
      </w:r>
      <w:r>
        <w:rPr>
          <w:i/>
          <w:iCs/>
        </w:rPr>
        <w:t>Comput. Stat. Data Anal.</w:t>
      </w:r>
      <w:r>
        <w:t xml:space="preserve"> </w:t>
      </w:r>
      <w:r>
        <w:rPr>
          <w:b/>
          <w:bCs/>
        </w:rPr>
        <w:t>54</w:t>
      </w:r>
      <w:r>
        <w:t>, 348–366 (2010).</w:t>
      </w:r>
    </w:p>
    <w:p w14:paraId="00C1E94B" w14:textId="3A72EC31" w:rsidR="00355FC1" w:rsidRDefault="00B13A62" w:rsidP="000E2543">
      <w:pPr>
        <w:pBdr>
          <w:top w:val="nil"/>
          <w:left w:val="nil"/>
          <w:bottom w:val="nil"/>
          <w:right w:val="nil"/>
          <w:between w:val="nil"/>
        </w:pBdr>
        <w:tabs>
          <w:tab w:val="left" w:pos="264"/>
        </w:tabs>
        <w:rPr>
          <w:rFonts w:ascii="Times New Roman" w:eastAsia="Times New Roman" w:hAnsi="Times New Roman" w:cs="Times New Roman"/>
          <w:b/>
        </w:rPr>
      </w:pPr>
      <w:r>
        <w:rPr>
          <w:rFonts w:ascii="Times New Roman" w:eastAsia="Times New Roman" w:hAnsi="Times New Roman" w:cs="Times New Roman"/>
          <w:color w:val="000000"/>
        </w:rPr>
        <w:fldChar w:fldCharType="end"/>
      </w:r>
    </w:p>
    <w:p w14:paraId="2A1F9965" w14:textId="77777777" w:rsidR="00355FC1" w:rsidRDefault="00355FC1">
      <w:pPr>
        <w:spacing w:line="480" w:lineRule="auto"/>
        <w:rPr>
          <w:rFonts w:ascii="Times New Roman" w:eastAsia="Times New Roman" w:hAnsi="Times New Roman" w:cs="Times New Roman"/>
          <w:b/>
        </w:rPr>
        <w:sectPr w:rsidR="00355FC1" w:rsidSect="00002BFA">
          <w:type w:val="continuous"/>
          <w:pgSz w:w="12240" w:h="15840"/>
          <w:pgMar w:top="1134" w:right="1134" w:bottom="1134" w:left="1134" w:header="0" w:footer="0" w:gutter="0"/>
          <w:lnNumType w:countBy="1" w:restart="continuous"/>
          <w:cols w:space="720"/>
        </w:sectPr>
      </w:pPr>
    </w:p>
    <w:p w14:paraId="194C858C" w14:textId="77777777" w:rsidR="00355FC1" w:rsidRDefault="00BE17DB">
      <w:pPr>
        <w:tabs>
          <w:tab w:val="left" w:pos="264"/>
        </w:tabs>
        <w:spacing w:line="480" w:lineRule="auto"/>
        <w:ind w:left="264" w:hanging="264"/>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Figure legends (+ figures)</w:t>
      </w:r>
      <w:r>
        <w:br w:type="page"/>
      </w:r>
    </w:p>
    <w:p w14:paraId="27AC0046"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1: Spatial representation of priority areas for protection to account for governance, land use and climate risk. Accounting for these risks to protected area effectiveness to produce more resilient conservation networks w</w:t>
      </w:r>
      <w:r>
        <w:rPr>
          <w:rFonts w:ascii="Times New Roman" w:eastAsia="Times New Roman" w:hAnsi="Times New Roman" w:cs="Times New Roman"/>
        </w:rPr>
        <w:t>ould require 29.17% of land surface to protect 30% of threatened species’ ranges.</w:t>
      </w:r>
    </w:p>
    <w:p w14:paraId="0C93464D" w14:textId="77777777" w:rsidR="00355FC1" w:rsidRDefault="00BE17DB">
      <w:pPr>
        <w:spacing w:line="480" w:lineRule="auto"/>
        <w:rPr>
          <w:rFonts w:ascii="Times New Roman" w:eastAsia="Times New Roman" w:hAnsi="Times New Roman" w:cs="Times New Roman"/>
        </w:rPr>
      </w:pPr>
      <w:r>
        <w:br w:type="page"/>
      </w:r>
      <w:r>
        <w:rPr>
          <w:noProof/>
        </w:rPr>
        <w:drawing>
          <wp:anchor distT="0" distB="0" distL="0" distR="0" simplePos="0" relativeHeight="251658240" behindDoc="0" locked="0" layoutInCell="1" hidden="0" allowOverlap="1" wp14:anchorId="0D5A32CA" wp14:editId="585B2029">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8618220" cy="4787900"/>
                    </a:xfrm>
                    <a:prstGeom prst="rect">
                      <a:avLst/>
                    </a:prstGeom>
                    <a:ln/>
                  </pic:spPr>
                </pic:pic>
              </a:graphicData>
            </a:graphic>
          </wp:anchor>
        </w:drawing>
      </w:r>
    </w:p>
    <w:p w14:paraId="08FCB109"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2: “No regrets” areas comprising 3.57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of land that was identified as priority habitat for protection regardless of the risks included in our analysis.</w:t>
      </w:r>
    </w:p>
    <w:p w14:paraId="612052D0" w14:textId="77777777" w:rsidR="00355FC1" w:rsidRDefault="00BE17DB">
      <w:pPr>
        <w:spacing w:line="480" w:lineRule="auto"/>
        <w:rPr>
          <w:rFonts w:ascii="Times New Roman" w:eastAsia="Times New Roman" w:hAnsi="Times New Roman" w:cs="Times New Roman"/>
        </w:rPr>
      </w:pPr>
      <w:r>
        <w:br w:type="page"/>
      </w:r>
      <w:r>
        <w:rPr>
          <w:noProof/>
        </w:rPr>
        <w:drawing>
          <wp:anchor distT="0" distB="0" distL="0" distR="0" simplePos="0" relativeHeight="251659264" behindDoc="0" locked="0" layoutInCell="1" hidden="0" allowOverlap="1" wp14:anchorId="3AEDA840" wp14:editId="4A5C738B">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8618220" cy="4787900"/>
                    </a:xfrm>
                    <a:prstGeom prst="rect">
                      <a:avLst/>
                    </a:prstGeom>
                    <a:ln/>
                  </pic:spPr>
                </pic:pic>
              </a:graphicData>
            </a:graphic>
          </wp:anchor>
        </w:drawing>
      </w:r>
    </w:p>
    <w:p w14:paraId="3015E206" w14:textId="573AA1B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3:  Percent country-level variation between the null scenario and the 15 scenarios including risk. Countries whose results are consistent across the 15 scenarios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Brazil) have low variation, while countries whose results are less consistent a</w:t>
      </w:r>
      <w:r>
        <w:rPr>
          <w:rFonts w:ascii="Times New Roman" w:eastAsia="Times New Roman" w:hAnsi="Times New Roman" w:cs="Times New Roman"/>
        </w:rPr>
        <w:t>cross the 15 scenarios have high variation (e.g. Sweden). The kmeans method</w:t>
      </w:r>
      <w:r w:rsidR="00892F5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{"citationID":"zW0YLjbj","properties":{"formattedCitation":"\\super 38\\nosupersub{}","plainCitation":"38","noteIndex":0},"citationItems":[{"id":2876,"uris":["http://zotero.org/users/878981/items/UJ6D95JF"],"uri":["http://zotero.org/users/878981/items/UJ6D95JF"],"itemData":{"id":2876,"type":"article-journal","container-title":"Journal of the Royal Statistical Society. Series C (Applied Statistics)","DOI":"10.2307/2346830","ISSN":"0035-9254","issue":"1","note":"publisher: [Wiley, Royal Statistical Society]","page":"100-108","source":"JSTOR","title":"Algorithm AS 136: A K-Means Clustering Algorithm","title-short":"Algorithm AS 136","volume":"28","author":[{"family":"Hartigan","given":"J. A."},{"family":"Wong","given":"M. A."}],"issued":{"date-parts":[["1979"]]}}}],"schema":"https://github.com/citation-style-language/schema/raw/master/csl-citation.json"} </w:instrText>
      </w:r>
      <w:r w:rsidR="00892F5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38</w:t>
      </w:r>
      <w:r w:rsidR="00892F56">
        <w:rPr>
          <w:rFonts w:ascii="Times New Roman" w:eastAsia="Times New Roman" w:hAnsi="Times New Roman" w:cs="Times New Roman"/>
        </w:rPr>
        <w:fldChar w:fldCharType="end"/>
      </w:r>
      <w:r>
        <w:rPr>
          <w:rFonts w:ascii="Times New Roman" w:eastAsia="Times New Roman" w:hAnsi="Times New Roman" w:cs="Times New Roman"/>
        </w:rPr>
        <w:t xml:space="preserve"> was used to generate class intervals for visualization.</w:t>
      </w:r>
    </w:p>
    <w:p w14:paraId="528CC3EA"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C98299" wp14:editId="68A3FF05">
            <wp:extent cx="8503920" cy="4724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8503920" cy="4724400"/>
                    </a:xfrm>
                    <a:prstGeom prst="rect">
                      <a:avLst/>
                    </a:prstGeom>
                    <a:ln/>
                  </pic:spPr>
                </pic:pic>
              </a:graphicData>
            </a:graphic>
          </wp:inline>
        </w:drawing>
      </w:r>
    </w:p>
    <w:p w14:paraId="7D44C9A3" w14:textId="77777777" w:rsidR="00355FC1" w:rsidRDefault="00BE17DB">
      <w:pPr>
        <w:spacing w:line="480" w:lineRule="auto"/>
        <w:rPr>
          <w:rFonts w:ascii="Times New Roman" w:eastAsia="Times New Roman" w:hAnsi="Times New Roman" w:cs="Times New Roman"/>
        </w:rPr>
      </w:pPr>
      <w:r>
        <w:br w:type="page"/>
      </w:r>
    </w:p>
    <w:p w14:paraId="52F8660E"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4: Contrast of using individual risk objectives (governance, land-use, climate) to the null scenario of uniform</w:t>
      </w:r>
      <w:r>
        <w:rPr>
          <w:rFonts w:ascii="Times New Roman" w:eastAsia="Times New Roman" w:hAnsi="Times New Roman" w:cs="Times New Roman"/>
        </w:rPr>
        <w:t xml:space="preserve"> objective structure. The top panels represent the individual risk data for the focal regions. In the bottom panels brown shows null, green the specific risk objective scenario results, and purple where both scenarios agree. The figures show how the spatia</w:t>
      </w:r>
      <w:r>
        <w:rPr>
          <w:rFonts w:ascii="Times New Roman" w:eastAsia="Times New Roman" w:hAnsi="Times New Roman" w:cs="Times New Roman"/>
        </w:rPr>
        <w:t>l configuration of the solutions changes when risk is considered in a scenario. Governance focus is on Sweden, Finland and Russia, land-use risk on Sierra Leone and Liberia, and climate risk on Algeria and Liberia.</w:t>
      </w:r>
    </w:p>
    <w:p w14:paraId="1E6FFA09" w14:textId="77777777" w:rsidR="00355FC1" w:rsidRDefault="00BE17DB">
      <w:pPr>
        <w:spacing w:line="480" w:lineRule="auto"/>
        <w:rPr>
          <w:rFonts w:ascii="Times New Roman" w:eastAsia="Times New Roman" w:hAnsi="Times New Roman" w:cs="Times New Roman"/>
        </w:rPr>
        <w:sectPr w:rsidR="00355FC1" w:rsidSect="00002BFA">
          <w:pgSz w:w="15840" w:h="12240" w:orient="landscape"/>
          <w:pgMar w:top="1134" w:right="1134" w:bottom="1134" w:left="1134" w:header="0" w:footer="0" w:gutter="0"/>
          <w:lnNumType w:countBy="1" w:restart="continuous"/>
          <w:cols w:space="720"/>
        </w:sectPr>
      </w:pPr>
      <w:r>
        <w:rPr>
          <w:rFonts w:ascii="Times New Roman" w:eastAsia="Times New Roman" w:hAnsi="Times New Roman" w:cs="Times New Roman"/>
          <w:noProof/>
        </w:rPr>
        <w:drawing>
          <wp:inline distT="114300" distB="114300" distL="114300" distR="114300" wp14:anchorId="767B620B" wp14:editId="766D2A2B">
            <wp:extent cx="8618220" cy="3187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8618220" cy="3187700"/>
                    </a:xfrm>
                    <a:prstGeom prst="rect">
                      <a:avLst/>
                    </a:prstGeom>
                    <a:ln/>
                  </pic:spPr>
                </pic:pic>
              </a:graphicData>
            </a:graphic>
          </wp:inline>
        </w:drawing>
      </w:r>
    </w:p>
    <w:p w14:paraId="48D7E1AB"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Methods</w:t>
      </w:r>
    </w:p>
    <w:p w14:paraId="1CF93204" w14:textId="383FA421"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w:t>
      </w:r>
      <w:r>
        <w:rPr>
          <w:rFonts w:ascii="Times New Roman" w:eastAsia="Times New Roman" w:hAnsi="Times New Roman" w:cs="Times New Roman"/>
          <w:color w:val="000000"/>
        </w:rPr>
        <w:t>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t>
      </w:r>
      <w:r>
        <w:rPr>
          <w:rFonts w:ascii="Times New Roman" w:eastAsia="Times New Roman" w:hAnsi="Times New Roman" w:cs="Times New Roman"/>
          <w:color w:val="000000"/>
        </w:rPr>
        <w:t xml:space="preserve">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AC43AF">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4\\nosupersub{}","plainCitation":"4","noteIndex":0},"citationItems":[{"id":840,"uris":["http://zotero.org/users/878981/items/SFEVMJYB"],"uri":["http://zotero.org/users/878981/items/SFEVMJYB"],"itemData":{"id":840,"type":"article","title":"Zero draft of the post-2020 global biodiversity framework","URL":"https://www.cbd.int/doc/c/efb0/1f84/a892b98d2982a829962b6371/wg2020-02-03-en.pdf"}}],"schema":"https://github.com/citation-style-language/schema/raw/master/csl-citation.json"}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BE17DB">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r>
      <w:r>
        <w:rPr>
          <w:rFonts w:ascii="Times New Roman" w:eastAsia="Times New Roman" w:hAnsi="Times New Roman" w:cs="Times New Roman"/>
          <w:color w:val="000000"/>
        </w:rPr>
        <w:t>Our species list included all terrestrial vertebrate species from the IUCN Red List of threatened species, following Pouzols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9">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accessed 2019-11-14) and for birds we used the BirdLife International data zone webpage (</w:t>
      </w:r>
      <w:hyperlink r:id="rId10">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w:t>
      </w:r>
      <w:r>
        <w:rPr>
          <w:rFonts w:ascii="Times New Roman" w:eastAsia="Times New Roman" w:hAnsi="Times New Roman" w:cs="Times New Roman"/>
          <w:color w:val="000000"/>
        </w:rPr>
        <w:t>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w:t>
      </w:r>
      <w:r>
        <w:rPr>
          <w:rFonts w:ascii="Times New Roman" w:eastAsia="Times New Roman" w:hAnsi="Times New Roman" w:cs="Times New Roman"/>
          <w:color w:val="000000"/>
        </w:rPr>
        <w:t>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BE17DB">
      <w:pPr>
        <w:spacing w:line="480" w:lineRule="auto"/>
        <w:ind w:firstLine="720"/>
        <w:rPr>
          <w:rFonts w:ascii="Times New Roman" w:eastAsia="Times New Roman" w:hAnsi="Times New Roman" w:cs="Times New Roman"/>
        </w:rPr>
      </w:pPr>
      <w:bookmarkStart w:id="0" w:name="_gjdgxs" w:colFirst="0" w:colLast="0"/>
      <w:bookmarkEnd w:id="0"/>
      <w:r>
        <w:rPr>
          <w:rFonts w:ascii="Times New Roman" w:eastAsia="Times New Roman" w:hAnsi="Times New Roman" w:cs="Times New Roman"/>
          <w:color w:val="000000"/>
        </w:rPr>
        <w:t>For each taxonomic group, we restricted our analysis to species that fell into the presence category of ‘Extant’, the origin categories of ‘Native’ or ‘Reintroduced’ and the seasonality categories ‘Resident’, ‘Breeding Season’ or ‘Non-breeding Season’,</w:t>
      </w:r>
      <w:r>
        <w:rPr>
          <w:rFonts w:ascii="Times New Roman" w:eastAsia="Times New Roman" w:hAnsi="Times New Roman" w:cs="Times New Roman"/>
          <w:color w:val="000000"/>
        </w:rPr>
        <w:t xml:space="preserve"> thus only focusing on stationary periods of the life cycle of migratory species. This resulted in the following final numbers of amphibian, bird, mammal and reptile species ranges: 5660, 13375, 5442, and 6153, res</w:t>
      </w:r>
      <w:r>
        <w:rPr>
          <w:rFonts w:ascii="Times New Roman" w:eastAsia="Times New Roman" w:hAnsi="Times New Roman" w:cs="Times New Roman"/>
        </w:rPr>
        <w:t>pectively</w:t>
      </w:r>
      <w:r>
        <w:rPr>
          <w:rFonts w:ascii="Times New Roman" w:eastAsia="Times New Roman" w:hAnsi="Times New Roman" w:cs="Times New Roman"/>
          <w:color w:val="000000"/>
        </w:rPr>
        <w:t>.</w:t>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BE17DB">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w:t>
      </w:r>
      <w:r>
        <w:rPr>
          <w:rFonts w:ascii="Times New Roman" w:eastAsia="Times New Roman" w:hAnsi="Times New Roman" w:cs="Times New Roman"/>
          <w:i/>
        </w:rPr>
        <w:t>ons</w:t>
      </w:r>
    </w:p>
    <w:p w14:paraId="2FE5A511" w14:textId="1F6E0F24"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color w:val="000000"/>
        </w:rPr>
        <w:lastRenderedPageBreak/>
        <w:tab/>
        <w:t>National boundaries were derived from the Global Administrative Areas database (</w:t>
      </w:r>
      <w:hyperlink r:id="rId11">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2">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w:t>
      </w:r>
      <w:r>
        <w:rPr>
          <w:rFonts w:ascii="Times New Roman" w:eastAsia="Times New Roman" w:hAnsi="Times New Roman" w:cs="Times New Roman"/>
          <w:color w:val="000000"/>
        </w:rPr>
        <w:t>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(i)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w:t>
      </w:r>
      <w:r>
        <w:rPr>
          <w:rFonts w:ascii="Times New Roman" w:eastAsia="Times New Roman" w:hAnsi="Times New Roman" w:cs="Times New Roman"/>
          <w:color w:val="000000"/>
        </w:rPr>
        <w: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BE17DB">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w:t>
      </w:r>
      <w:r>
        <w:rPr>
          <w:rFonts w:ascii="Times New Roman" w:eastAsia="Times New Roman" w:hAnsi="Times New Roman" w:cs="Times New Roman"/>
        </w:rPr>
        <w:t xml:space="preserve">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w:t>
      </w:r>
      <w:r>
        <w:rPr>
          <w:rFonts w:ascii="Times New Roman" w:eastAsia="Times New Roman" w:hAnsi="Times New Roman" w:cs="Times New Roman"/>
        </w:rPr>
        <w:t>lude six scaled measures: voice and accountability; political stability and absence of violence; government effectiveness; regulatory quality; rule of law; and control of corruption (see Table S4 for definitions). We chose these indicators because evidence</w:t>
      </w:r>
      <w:r>
        <w:rPr>
          <w:rFonts w:ascii="Times New Roman" w:eastAsia="Times New Roman" w:hAnsi="Times New Roman" w:cs="Times New Roman"/>
        </w:rPr>
        <w:t xml:space="preserv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BE17DB">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w:t>
      </w:r>
      <w:r>
        <w:rPr>
          <w:rFonts w:ascii="Times New Roman" w:eastAsia="Times New Roman" w:hAnsi="Times New Roman" w:cs="Times New Roman"/>
        </w:rPr>
        <w:lastRenderedPageBreak/>
        <w:t>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w:t>
      </w:r>
      <w:r>
        <w:rPr>
          <w:rFonts w:ascii="Times New Roman" w:eastAsia="Times New Roman" w:hAnsi="Times New Roman" w:cs="Times New Roman"/>
        </w:rPr>
        <w:t>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w:t>
      </w:r>
      <w:r>
        <w:rPr>
          <w:rFonts w:ascii="Times New Roman" w:eastAsia="Times New Roman" w:hAnsi="Times New Roman" w:cs="Times New Roman"/>
        </w:rPr>
        <w:t>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w:t>
      </w:r>
      <w:r>
        <w:rPr>
          <w:rFonts w:ascii="Times New Roman" w:eastAsia="Times New Roman" w:hAnsi="Times New Roman" w:cs="Times New Roman"/>
        </w:rPr>
        <w:t>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77FB95B2" w14:textId="26EE9913"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Anthropogenic climate change is affecting the frequency and duration of extreme heat ev</w:t>
      </w:r>
      <w:r>
        <w:rPr>
          <w:rFonts w:ascii="Times New Roman" w:eastAsia="Times New Roman" w:hAnsi="Times New Roman" w:cs="Times New Roman"/>
        </w:rPr>
        <w:t>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Pr>
          <w:rFonts w:ascii="Times New Roman" w:eastAsia="Times New Roman" w:hAnsi="Times New Roman" w:cs="Times New Roman"/>
        </w:rPr>
        <w:t>. EHE and ECE can also promote the formation of nov</w:t>
      </w:r>
      <w:r>
        <w:rPr>
          <w:rFonts w:ascii="Times New Roman" w:eastAsia="Times New Roman" w:hAnsi="Times New Roman" w:cs="Times New Roman"/>
        </w:rPr>
        <w:t>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Pr>
          <w:rFonts w:ascii="Times New Roman" w:eastAsia="Times New Roman" w:hAnsi="Times New Roman" w:cs="Times New Roman"/>
        </w:rPr>
        <w:t>. There are a number of climate indic</w:t>
      </w:r>
      <w:r>
        <w:rPr>
          <w:rFonts w:ascii="Times New Roman" w:eastAsia="Times New Roman" w:hAnsi="Times New Roman" w:cs="Times New Roman"/>
        </w:rPr>
        <w:t>es that have been used to estimate the occurrence of 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Pr>
          <w:rFonts w:ascii="Times New Roman" w:eastAsia="Times New Roman" w:hAnsi="Times New Roman" w:cs="Times New Roman"/>
        </w:rPr>
        <w:t>.</w:t>
      </w:r>
    </w:p>
    <w:p w14:paraId="09AAC661" w14:textId="1309BD28" w:rsidR="00355FC1" w:rsidRDefault="00BE17DB">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w:t>
      </w:r>
      <w:r>
        <w:rPr>
          <w:rFonts w:ascii="Times New Roman" w:eastAsia="Times New Roman" w:hAnsi="Times New Roman" w:cs="Times New Roman"/>
        </w:rPr>
        <w:t>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Extreme heat events were estimated using hourly air temperature at 2 m above the surface and gridded at a 31 km (0.28125° at the equa</w:t>
      </w:r>
      <w:r>
        <w:rPr>
          <w:rFonts w:ascii="Times New Roman" w:eastAsia="Times New Roman" w:hAnsi="Times New Roman" w:cs="Times New Roman"/>
        </w:rPr>
        <w:t>tor) spatial resolution (DOI: 10.24381/</w:t>
      </w:r>
      <w:proofErr w:type="gramStart"/>
      <w:r>
        <w:rPr>
          <w:rFonts w:ascii="Times New Roman" w:eastAsia="Times New Roman" w:hAnsi="Times New Roman" w:cs="Times New Roman"/>
        </w:rPr>
        <w:t>cds.adbb</w:t>
      </w:r>
      <w:proofErr w:type="gramEnd"/>
      <w:r>
        <w:rPr>
          <w:rFonts w:ascii="Times New Roman" w:eastAsia="Times New Roman" w:hAnsi="Times New Roman" w:cs="Times New Roman"/>
        </w:rPr>
        <w:t xml:space="preserve">2d47). The temperature data was acquired from the European Centre for Medium-Range Weather Forecasts (ECMWF) fifth generation atmospheric reanalysis of the </w:t>
      </w:r>
      <w:r>
        <w:rPr>
          <w:rFonts w:ascii="Times New Roman" w:eastAsia="Times New Roman" w:hAnsi="Times New Roman" w:cs="Times New Roman"/>
        </w:rPr>
        <w:lastRenderedPageBreak/>
        <w:t>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w:t>
      </w:r>
      <w:r>
        <w:rPr>
          <w:rFonts w:ascii="Times New Roman" w:eastAsia="Times New Roman" w:hAnsi="Times New Roman" w:cs="Times New Roman"/>
        </w:rPr>
        <w:t>ted daily minimum and maximum temperature for each grid cell over the 41-year period. To reduce the influence of warming trends, the daily minimum and maximum temperature was then detrended across years for each day and grid cell using empirical mode decom</w:t>
      </w:r>
      <w:r>
        <w:rPr>
          <w:rFonts w:ascii="Times New Roman" w:eastAsia="Times New Roman" w:hAnsi="Times New Roman" w:cs="Times New Roman"/>
        </w:rPr>
        <w:t>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w:t>
      </w:r>
      <w:r>
        <w:rPr>
          <w:rFonts w:ascii="Times New Roman" w:eastAsia="Times New Roman" w:hAnsi="Times New Roman" w:cs="Times New Roman"/>
        </w:rPr>
        <w:t>unction for the detrended minimum and maximum temperature was then estimated using the mean and standard deviation calculated across years for each day and grid cell. Extreme heat events occurred when the probabilities for both minimum and maximum temperat</w:t>
      </w:r>
      <w:r>
        <w:rPr>
          <w:rFonts w:ascii="Times New Roman" w:eastAsia="Times New Roman" w:hAnsi="Times New Roman" w:cs="Times New Roman"/>
        </w:rPr>
        <w:t xml:space="preserve">ure on a given day and grid cell were within the 0.95-1.00 quartile of the probability density function. The trend in the annual proportion of days containing extreme heat events for each year was calculated for each grid cell using beta regression with a </w:t>
      </w:r>
      <w:r>
        <w:rPr>
          <w:rFonts w:ascii="Times New Roman" w:eastAsia="Times New Roman" w:hAnsi="Times New Roman" w:cs="Times New Roman"/>
        </w:rPr>
        <w:t>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(Figure S3). See La Sorte et al.</w:t>
      </w:r>
      <w:r w:rsidR="00707E09">
        <w:rPr>
          <w:rFonts w:ascii="Times New Roman" w:eastAsia="Times New Roman" w:hAnsi="Times New Roman" w:cs="Times New Roman"/>
        </w:rPr>
        <w:fldChar w:fldCharType="begin"/>
      </w:r>
      <w:r w:rsidR="00707E09">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BE17DB">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1F304294"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We processed all data described previously to a 10 x 10 km resolution</w:t>
      </w:r>
      <w:r>
        <w:rPr>
          <w:rFonts w:ascii="Times New Roman" w:eastAsia="Times New Roman" w:hAnsi="Times New Roman" w:cs="Times New Roman"/>
        </w:rPr>
        <w:t xml:space="preserve"> and clipped data to the extent of land based on the global administrative areas database. We then developed an extension on the minimum set problem, which has the goal to identify a set of sites within a planning area that represents all conservation targ</w:t>
      </w:r>
      <w:r>
        <w:rPr>
          <w:rFonts w:ascii="Times New Roman" w:eastAsia="Times New Roman" w:hAnsi="Times New Roman" w:cs="Times New Roman"/>
        </w:rPr>
        <w:t>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Instead of including one objective we expanded the formulation to include multiple objectives in the problem formulation. We used a hierarchical or lexicographic approach that assigns a priority to each objective, and o</w:t>
      </w:r>
      <w:r>
        <w:rPr>
          <w:rFonts w:ascii="Times New Roman" w:eastAsia="Times New Roman" w:hAnsi="Times New Roman" w:cs="Times New Roman"/>
        </w:rPr>
        <w:t>ptimizes for the objectives in decreasing priority order. At each step, it finds the best solution for the current objective, but only from among those that would not degrade the solution quality for higher-priority objectives. We considered up to three ob</w:t>
      </w:r>
      <w:r>
        <w:rPr>
          <w:rFonts w:ascii="Times New Roman" w:eastAsia="Times New Roman" w:hAnsi="Times New Roman" w:cs="Times New Roman"/>
        </w:rPr>
        <w:t xml:space="preserve">jectives in our prioritization scenarios, i) governance risk, ii) land-use risk, and iii) climate risk. To compare different scenarios, we calculated solutions for each unique </w:t>
      </w:r>
      <w:r>
        <w:rPr>
          <w:rFonts w:ascii="Times New Roman" w:eastAsia="Times New Roman" w:hAnsi="Times New Roman" w:cs="Times New Roman"/>
        </w:rPr>
        <w:lastRenderedPageBreak/>
        <w:t>objective combination (n = 15), as well as one where we use a constant objective</w:t>
      </w:r>
      <w:r>
        <w:rPr>
          <w:rFonts w:ascii="Times New Roman" w:eastAsia="Times New Roman" w:hAnsi="Times New Roman" w:cs="Times New Roman"/>
        </w:rPr>
        <w:t xml:space="preserve"> function as the null scenario, as the order of the hierarchy can influence the results.</w:t>
      </w:r>
    </w:p>
    <w:p w14:paraId="24D8A1FD" w14:textId="6C2B2D49"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w:t>
      </w:r>
      <w:r>
        <w:rPr>
          <w:rFonts w:ascii="Times New Roman" w:eastAsia="Times New Roman" w:hAnsi="Times New Roman" w:cs="Times New Roman"/>
        </w:rPr>
        <w:t>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w:t>
      </w:r>
      <w:r>
        <w:rPr>
          <w:rFonts w:ascii="Times New Roman" w:eastAsia="Times New Roman" w:hAnsi="Times New Roman" w:cs="Times New Roman"/>
        </w:rPr>
        <w:t>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w:t>
      </w:r>
      <w:r>
        <w:rPr>
          <w:rFonts w:ascii="Times New Roman" w:eastAsia="Times New Roman" w:hAnsi="Times New Roman" w:cs="Times New Roman"/>
        </w:rPr>
        <w:t xml:space="preserve">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all of the conservation features,</w:t>
      </w:r>
      <w:r>
        <w:rPr>
          <w:rFonts w:ascii="Times New Roman" w:eastAsia="Times New Roman" w:hAnsi="Times New Roman" w:cs="Times New Roman"/>
        </w:rPr>
        <w:t xml:space="preserve"> with minimal risk.</w:t>
      </w:r>
    </w:p>
    <w:p w14:paraId="25CB1C09" w14:textId="77777777" w:rsidR="00355FC1" w:rsidRPr="00427228"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r w:rsidRPr="00375129">
        <w:rPr>
          <w:rFonts w:ascii="Times New Roman" w:eastAsia="Times New Roman" w:hAnsi="Times New Roman" w:cs="Times New Roman"/>
          <w:u w:val="double"/>
        </w:rPr>
        <w:t>i</w:t>
      </w:r>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indexed by j). To describe existing conservation efforts, let p</w:t>
      </w:r>
      <w:r w:rsidRPr="00375129">
        <w:rPr>
          <w:rFonts w:ascii="Times New Roman" w:eastAsia="Times New Roman" w:hAnsi="Times New Roman" w:cs="Times New Roman"/>
          <w:vertAlign w:val="subscript"/>
        </w:rPr>
        <w:t>j</w:t>
      </w:r>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w:t>
      </w:r>
      <w:r w:rsidRPr="00427228">
        <w:rPr>
          <w:rFonts w:ascii="Times New Roman" w:eastAsia="Gungsuh" w:hAnsi="Times New Roman" w:cs="Times New Roman"/>
        </w:rPr>
        <w:t xml:space="preserve"> is already part of the global protected area system. To describe the spatial distribution of the features, let A</w:t>
      </w:r>
      <w:r w:rsidRPr="00375129">
        <w:rPr>
          <w:rFonts w:ascii="Times New Roman" w:eastAsia="Gungsuh" w:hAnsi="Times New Roman" w:cs="Times New Roman"/>
          <w:vertAlign w:val="subscript"/>
        </w:rPr>
        <w:t>ij</w:t>
      </w:r>
      <w:r w:rsidRPr="00427228">
        <w:rPr>
          <w:rFonts w:ascii="Times New Roman" w:eastAsia="Gungsuh" w:hAnsi="Times New Roman" w:cs="Times New Roman"/>
        </w:rPr>
        <w:t xml:space="preserve"> denote (i.e., using zeros and ones) if each feature is present or absent from each planning unit. To ensure the features are adequately repr</w:t>
      </w:r>
      <w:r w:rsidRPr="00427228">
        <w:rPr>
          <w:rFonts w:ascii="Times New Roman" w:eastAsia="Gungsuh" w:hAnsi="Times New Roman" w:cs="Times New Roman"/>
        </w:rPr>
        <w:t>esented by the solution, let T</w:t>
      </w:r>
      <w:r w:rsidRPr="00375129">
        <w:rPr>
          <w:rFonts w:ascii="Times New Roman" w:eastAsia="Gungsuh" w:hAnsi="Times New Roman" w:cs="Times New Roman"/>
          <w:vertAlign w:val="subscript"/>
        </w:rPr>
        <w:t>i</w:t>
      </w:r>
      <w:r w:rsidRPr="00427228">
        <w:rPr>
          <w:rFonts w:ascii="Times New Roman" w:eastAsia="Gungsuh" w:hAnsi="Times New Roman" w:cs="Times New Roman"/>
        </w:rPr>
        <w:t xml:space="preserve"> denote the conservation target for each feature i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To describe the relative risk associated with each planning unit, let R</w:t>
      </w:r>
      <w:r w:rsidRPr="00375129">
        <w:rPr>
          <w:rFonts w:ascii="Times New Roman" w:eastAsia="Gungsuh" w:hAnsi="Times New Roman" w:cs="Times New Roman"/>
          <w:vertAlign w:val="subscript"/>
        </w:rPr>
        <w:t>dj</w:t>
      </w:r>
      <w:r w:rsidRPr="00427228">
        <w:rPr>
          <w:rFonts w:ascii="Times New Roman" w:eastAsia="Gungsuh" w:hAnsi="Times New Roman" w:cs="Times New Roman"/>
        </w:rPr>
        <w:t xml:space="preserve"> denote the risk for planning units </w:t>
      </w:r>
      <w:r w:rsidRPr="00427228">
        <w:rPr>
          <w:rFonts w:ascii="Times New Roman" w:eastAsia="Gungsuh" w:hAnsi="Times New Roman" w:cs="Times New Roman"/>
        </w:rPr>
        <w:t xml:space="preserve">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BE17DB">
      <w:pPr>
        <w:spacing w:line="480" w:lineRule="auto"/>
        <w:rPr>
          <w:rFonts w:ascii="Times New Roman" w:eastAsia="Times New Roman" w:hAnsi="Times New Roman" w:cs="Times New Roman"/>
        </w:rPr>
      </w:pPr>
      <w:r w:rsidRPr="00427228">
        <w:rPr>
          <w:rFonts w:ascii="Times New Roman" w:eastAsia="Gungsuh" w:hAnsi="Times New Roman" w:cs="Times New Roman"/>
        </w:rPr>
        <w:t>The problem contains the binary decision variables x</w:t>
      </w:r>
      <w:r w:rsidRPr="00375129">
        <w:rPr>
          <w:rFonts w:ascii="Times New Roman" w:eastAsia="Gungsuh" w:hAnsi="Times New Roman" w:cs="Times New Roman"/>
          <w:vertAlign w:val="subscript"/>
        </w:rPr>
        <w:t>j</w:t>
      </w:r>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32220" cy="1477010"/>
                    </a:xfrm>
                    <a:prstGeom prst="rect">
                      <a:avLst/>
                    </a:prstGeom>
                    <a:ln/>
                  </pic:spPr>
                </pic:pic>
              </a:graphicData>
            </a:graphic>
          </wp:anchor>
        </w:drawing>
      </w:r>
    </w:p>
    <w:p w14:paraId="0A781084"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1312" behindDoc="0" locked="0" layoutInCell="1" hidden="0" allowOverlap="1" wp14:anchorId="732582BE" wp14:editId="0115A0F3">
            <wp:simplePos x="0" y="0"/>
            <wp:positionH relativeFrom="column">
              <wp:posOffset>0</wp:posOffset>
            </wp:positionH>
            <wp:positionV relativeFrom="paragraph">
              <wp:posOffset>635</wp:posOffset>
            </wp:positionV>
            <wp:extent cx="6332220" cy="2441575"/>
            <wp:effectExtent l="0" t="0" r="0" b="0"/>
            <wp:wrapSquare wrapText="bothSides" distT="0" distB="0" distL="0" distR="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332220" cy="2441575"/>
                    </a:xfrm>
                    <a:prstGeom prst="rect">
                      <a:avLst/>
                    </a:prstGeom>
                    <a:ln/>
                  </pic:spPr>
                </pic:pic>
              </a:graphicData>
            </a:graphic>
          </wp:anchor>
        </w:drawing>
      </w:r>
    </w:p>
    <w:p w14:paraId="03C46BFD"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The objective</w:t>
      </w:r>
      <w:r>
        <w:rPr>
          <w:rFonts w:ascii="Times New Roman" w:eastAsia="Times New Roman" w:hAnsi="Times New Roman" w:cs="Times New Roman"/>
        </w:rPr>
        <w:t xml:space="preserve"> function (eqn 2a) is to lexicographically (hierarchically</w:t>
      </w:r>
      <w:r>
        <w:rPr>
          <w:rFonts w:ascii="Times New Roman" w:eastAsia="Times New Roman" w:hAnsi="Times New Roman" w:cs="Times New Roman"/>
        </w:rPr>
        <w:t>) minimize multiple functions. Constraints (eqn 2b) define each of these functions as the total risk encompassed by selected planning units given each risk dataset. Constraints (eqn 2c) ensure that the representation targets (</w:t>
      </w:r>
      <w:proofErr w:type="gramStart"/>
      <w:r>
        <w:rPr>
          <w:rFonts w:ascii="Times New Roman" w:eastAsia="Times New Roman" w:hAnsi="Times New Roman" w:cs="Times New Roman"/>
        </w:rPr>
        <w:t>Ti )</w:t>
      </w:r>
      <w:proofErr w:type="gramEnd"/>
      <w:r>
        <w:rPr>
          <w:rFonts w:ascii="Times New Roman" w:eastAsia="Times New Roman" w:hAnsi="Times New Roman" w:cs="Times New Roman"/>
        </w:rPr>
        <w:t xml:space="preserve"> are met for all features.</w:t>
      </w:r>
      <w:r>
        <w:rPr>
          <w:rFonts w:ascii="Times New Roman" w:eastAsia="Times New Roman" w:hAnsi="Times New Roman" w:cs="Times New Roman"/>
        </w:rPr>
        <w:t xml:space="preserve"> Constraints (eqn 2d) ensure that the existing protected areas are selected in the</w:t>
      </w:r>
    </w:p>
    <w:p w14:paraId="216F878D"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(eqns 2e) ensure that the decision variables x</w:t>
      </w:r>
      <w:r w:rsidRPr="008A18EE">
        <w:rPr>
          <w:rFonts w:ascii="Times New Roman" w:eastAsia="Times New Roman" w:hAnsi="Times New Roman" w:cs="Times New Roman"/>
          <w:vertAlign w:val="subscript"/>
        </w:rPr>
        <w:t>j</w:t>
      </w:r>
      <w:r>
        <w:rPr>
          <w:rFonts w:ascii="Times New Roman" w:eastAsia="Times New Roman" w:hAnsi="Times New Roman" w:cs="Times New Roman"/>
        </w:rPr>
        <w:t xml:space="preserve"> contain zeros or ones.</w:t>
      </w:r>
    </w:p>
    <w:p w14:paraId="28E20A81" w14:textId="654A7E6D"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 xml:space="preserve">For all scenarios we locked in current protected areas and used the same feature set of 30,930 vertebrates. The target for each feature was set to 30% of their range. The optimality gap, which specifies how far from numerical optimality we would allow the </w:t>
      </w:r>
      <w:r>
        <w:rPr>
          <w:rFonts w:ascii="Times New Roman" w:eastAsia="Times New Roman" w:hAnsi="Times New Roman" w:cs="Times New Roman"/>
        </w:rPr>
        <w:t xml:space="preserve">solution to be, was 10% for each </w:t>
      </w:r>
      <w:r>
        <w:rPr>
          <w:rFonts w:ascii="Times New Roman" w:eastAsia="Times New Roman" w:hAnsi="Times New Roman" w:cs="Times New Roman"/>
        </w:rPr>
        <w:lastRenderedPageBreak/>
        <w:t>objective in the hierarchy. We chose a 10% optimality gap to allow for some flexibility in the result of each step in the hierarchy to avoid getting too restricted in the solution space.</w:t>
      </w:r>
      <w:r>
        <w:br w:type="page"/>
      </w:r>
    </w:p>
    <w:p w14:paraId="02B9C1B9"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Acknowledgemen</w:t>
      </w:r>
      <w:r>
        <w:rPr>
          <w:rFonts w:ascii="Times New Roman" w:eastAsia="Times New Roman" w:hAnsi="Times New Roman" w:cs="Times New Roman"/>
          <w:b/>
        </w:rPr>
        <w:t>ts</w:t>
      </w:r>
    </w:p>
    <w:p w14:paraId="2B4974EE"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 xml:space="preserve">R. Schuster was supported by a Liber Ero Postdoctoral Fellowship, the Nature Conservancy of Canada, </w:t>
      </w:r>
      <w:proofErr w:type="gramStart"/>
      <w:r>
        <w:rPr>
          <w:rFonts w:ascii="Times New Roman" w:eastAsia="Times New Roman" w:hAnsi="Times New Roman" w:cs="Times New Roman"/>
        </w:rPr>
        <w:t>and  Environment</w:t>
      </w:r>
      <w:proofErr w:type="gramEnd"/>
      <w:r>
        <w:rPr>
          <w:rFonts w:ascii="Times New Roman" w:eastAsia="Times New Roman" w:hAnsi="Times New Roman" w:cs="Times New Roman"/>
        </w:rPr>
        <w:t xml:space="preserve"> and Climate Change Canada (ECCC), R. Buxton by ECCC, J. Hanson by ECCC and the Natural Sciences and Engineering Research Council of Cana</w:t>
      </w:r>
      <w:r>
        <w:rPr>
          <w:rFonts w:ascii="Times New Roman" w:eastAsia="Times New Roman" w:hAnsi="Times New Roman" w:cs="Times New Roman"/>
        </w:rPr>
        <w:t xml:space="preserve">da (NSERC), A. Binley by ECCC and an Ontario Graduate Scholarship, V. Tulloch by a Postdoctoral Research Grant from ECCC, J. Bennett by NSERC and ECCC. </w:t>
      </w:r>
    </w:p>
    <w:p w14:paraId="3C179412" w14:textId="2175A294" w:rsidR="00355FC1" w:rsidRDefault="00355FC1">
      <w:pPr>
        <w:spacing w:line="480" w:lineRule="auto"/>
        <w:rPr>
          <w:rFonts w:ascii="Times New Roman" w:eastAsia="Times New Roman" w:hAnsi="Times New Roman" w:cs="Times New Roman"/>
          <w:b/>
        </w:rPr>
      </w:pPr>
    </w:p>
    <w:p w14:paraId="3FD30DEF" w14:textId="4E920E65" w:rsidR="009801BE" w:rsidRDefault="009801BE">
      <w:pPr>
        <w:spacing w:line="480" w:lineRule="auto"/>
        <w:rPr>
          <w:rFonts w:ascii="Times New Roman" w:eastAsia="Times New Roman" w:hAnsi="Times New Roman" w:cs="Times New Roman"/>
          <w:b/>
        </w:rPr>
      </w:pPr>
      <w:r w:rsidRPr="009801BE">
        <w:rPr>
          <w:rFonts w:ascii="Times New Roman" w:eastAsia="Times New Roman" w:hAnsi="Times New Roman" w:cs="Times New Roman"/>
          <w:b/>
        </w:rPr>
        <w:t>Author contributions</w:t>
      </w:r>
    </w:p>
    <w:p w14:paraId="543F1886" w14:textId="7B7D6F62" w:rsidR="009801BE" w:rsidRPr="00D77A2F" w:rsidRDefault="00D77A2F">
      <w:pPr>
        <w:spacing w:line="480" w:lineRule="auto"/>
        <w:rPr>
          <w:rFonts w:ascii="Times New Roman" w:eastAsia="Times New Roman" w:hAnsi="Times New Roman" w:cs="Times New Roman"/>
          <w:bCs/>
        </w:rPr>
      </w:pPr>
      <w:r>
        <w:rPr>
          <w:rFonts w:ascii="Times New Roman" w:eastAsia="Times New Roman" w:hAnsi="Times New Roman" w:cs="Times New Roman"/>
          <w:bCs/>
        </w:rPr>
        <w:t>R.S.</w:t>
      </w:r>
      <w:r w:rsidR="00BE17DB">
        <w:rPr>
          <w:rFonts w:ascii="Times New Roman" w:eastAsia="Times New Roman" w:hAnsi="Times New Roman" w:cs="Times New Roman"/>
          <w:bCs/>
        </w:rPr>
        <w:t>, R.B.</w:t>
      </w:r>
      <w:r w:rsidRPr="00D77A2F">
        <w:rPr>
          <w:rFonts w:ascii="Times New Roman" w:eastAsia="Times New Roman" w:hAnsi="Times New Roman" w:cs="Times New Roman"/>
          <w:bCs/>
        </w:rPr>
        <w:t xml:space="preserve"> and </w:t>
      </w:r>
      <w:r>
        <w:rPr>
          <w:rFonts w:ascii="Times New Roman" w:eastAsia="Times New Roman" w:hAnsi="Times New Roman" w:cs="Times New Roman"/>
          <w:bCs/>
        </w:rPr>
        <w:t>J.B</w:t>
      </w:r>
      <w:r w:rsidRPr="00D77A2F">
        <w:rPr>
          <w:rFonts w:ascii="Times New Roman" w:eastAsia="Times New Roman" w:hAnsi="Times New Roman" w:cs="Times New Roman"/>
          <w:bCs/>
        </w:rPr>
        <w:t xml:space="preserve">. designed the study. </w:t>
      </w:r>
      <w:r w:rsidR="003B0D03">
        <w:rPr>
          <w:rFonts w:ascii="Times New Roman" w:eastAsia="Times New Roman" w:hAnsi="Times New Roman" w:cs="Times New Roman"/>
          <w:bCs/>
        </w:rPr>
        <w:t>R</w:t>
      </w:r>
      <w:r w:rsidRPr="00D77A2F">
        <w:rPr>
          <w:rFonts w:ascii="Times New Roman" w:eastAsia="Times New Roman" w:hAnsi="Times New Roman" w:cs="Times New Roman"/>
          <w:bCs/>
        </w:rPr>
        <w:t>.</w:t>
      </w:r>
      <w:r w:rsidR="003B0D03">
        <w:rPr>
          <w:rFonts w:ascii="Times New Roman" w:eastAsia="Times New Roman" w:hAnsi="Times New Roman" w:cs="Times New Roman"/>
          <w:bCs/>
        </w:rPr>
        <w:t>S</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R.B.</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 xml:space="preserve">J.O.H., J.P., and F.A.LS. </w:t>
      </w:r>
      <w:r w:rsidRPr="00D77A2F">
        <w:rPr>
          <w:rFonts w:ascii="Times New Roman" w:eastAsia="Times New Roman" w:hAnsi="Times New Roman" w:cs="Times New Roman"/>
          <w:bCs/>
        </w:rPr>
        <w:t xml:space="preserve">obtained the data. </w:t>
      </w:r>
      <w:r w:rsidR="003B0D03">
        <w:rPr>
          <w:rFonts w:ascii="Times New Roman" w:eastAsia="Times New Roman" w:hAnsi="Times New Roman" w:cs="Times New Roman"/>
          <w:bCs/>
        </w:rPr>
        <w:t>R.S.</w:t>
      </w:r>
      <w:r w:rsidRPr="00D77A2F">
        <w:rPr>
          <w:rFonts w:ascii="Times New Roman" w:eastAsia="Times New Roman" w:hAnsi="Times New Roman" w:cs="Times New Roman"/>
          <w:bCs/>
        </w:rPr>
        <w:t xml:space="preserve"> performed the analysis</w:t>
      </w:r>
      <w:r w:rsidR="003B0D03">
        <w:rPr>
          <w:rFonts w:ascii="Times New Roman" w:eastAsia="Times New Roman" w:hAnsi="Times New Roman" w:cs="Times New Roman"/>
          <w:bCs/>
        </w:rPr>
        <w:t xml:space="preserve">. R.S. </w:t>
      </w:r>
      <w:r w:rsidRPr="00D77A2F">
        <w:rPr>
          <w:rFonts w:ascii="Times New Roman" w:eastAsia="Times New Roman" w:hAnsi="Times New Roman" w:cs="Times New Roman"/>
          <w:bCs/>
        </w:rPr>
        <w:t xml:space="preserve">and </w:t>
      </w:r>
      <w:r w:rsidR="003B0D03">
        <w:rPr>
          <w:rFonts w:ascii="Times New Roman" w:eastAsia="Times New Roman" w:hAnsi="Times New Roman" w:cs="Times New Roman"/>
          <w:bCs/>
        </w:rPr>
        <w:t xml:space="preserve">R.B. </w:t>
      </w:r>
      <w:r w:rsidRPr="00D77A2F">
        <w:rPr>
          <w:rFonts w:ascii="Times New Roman" w:eastAsia="Times New Roman" w:hAnsi="Times New Roman" w:cs="Times New Roman"/>
          <w:bCs/>
        </w:rPr>
        <w:t>drafted the manuscript. All authors discussed the results, contributed critically to the drafts, and gave final approval for publication.</w:t>
      </w:r>
    </w:p>
    <w:p w14:paraId="3DDD8447" w14:textId="77777777" w:rsidR="00D77A2F" w:rsidRDefault="00D77A2F">
      <w:pPr>
        <w:spacing w:line="480" w:lineRule="auto"/>
        <w:rPr>
          <w:rFonts w:ascii="Times New Roman" w:eastAsia="Times New Roman" w:hAnsi="Times New Roman" w:cs="Times New Roman"/>
          <w:b/>
        </w:rPr>
      </w:pPr>
    </w:p>
    <w:p w14:paraId="158B12F2"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t>Competing interest declaration</w:t>
      </w:r>
    </w:p>
    <w:p w14:paraId="136278ED"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No competing interests to declare</w:t>
      </w:r>
    </w:p>
    <w:p w14:paraId="43C5D99D" w14:textId="77777777" w:rsidR="00355FC1" w:rsidRDefault="00355FC1">
      <w:pPr>
        <w:spacing w:line="480" w:lineRule="auto"/>
        <w:rPr>
          <w:rFonts w:ascii="Times New Roman" w:eastAsia="Times New Roman" w:hAnsi="Times New Roman" w:cs="Times New Roman"/>
        </w:rPr>
      </w:pPr>
    </w:p>
    <w:p w14:paraId="183A3ABF"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t>Data availability</w:t>
      </w:r>
    </w:p>
    <w:p w14:paraId="0CEC7BA5"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All data, scripts and full results are available on Open Science Framework (OSF) and will be assigned a DOI once the manuscript is in print: </w:t>
      </w:r>
      <w:hyperlink r:id="rId15">
        <w:r>
          <w:rPr>
            <w:rFonts w:ascii="Times New Roman" w:eastAsia="Times New Roman" w:hAnsi="Times New Roman" w:cs="Times New Roman"/>
            <w:color w:val="1155CC"/>
            <w:u w:val="single"/>
          </w:rPr>
          <w:t>https://osf.io/e2fuw/?view_only=46eb2e525daf42d29df318a92762d885</w:t>
        </w:r>
      </w:hyperlink>
      <w:r>
        <w:rPr>
          <w:rFonts w:ascii="Times New Roman" w:eastAsia="Times New Roman" w:hAnsi="Times New Roman" w:cs="Times New Roman"/>
        </w:rPr>
        <w:t xml:space="preserve"> </w:t>
      </w:r>
      <w:r>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 xml:space="preserve">Scenarios explored and global protection results. The risk factor order represents the order risk factors were included in the hierarchical prioritization. </w:t>
      </w:r>
      <w:r>
        <w:rPr>
          <w:rFonts w:ascii="Times New Roman" w:eastAsia="Times New Roman" w:hAnsi="Times New Roman" w:cs="Times New Roman"/>
        </w:rPr>
        <w:t>(G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355FC1" w14:paraId="2A67148E"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vAlign w:val="center"/>
          </w:tcPr>
          <w:p w14:paraId="05C9D117"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28.08</w:t>
            </w:r>
          </w:p>
        </w:tc>
      </w:tr>
      <w:tr w:rsidR="00355FC1" w14:paraId="0CA1BB15"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vAlign w:val="center"/>
          </w:tcPr>
          <w:p w14:paraId="7E51366C"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28.44</w:t>
            </w:r>
          </w:p>
        </w:tc>
      </w:tr>
      <w:tr w:rsidR="00355FC1" w14:paraId="1EBF9A2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vAlign w:val="center"/>
          </w:tcPr>
          <w:p w14:paraId="45A9D0E4"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29.23</w:t>
            </w:r>
          </w:p>
        </w:tc>
      </w:tr>
      <w:tr w:rsidR="00355FC1" w14:paraId="264AE53E"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vAlign w:val="center"/>
          </w:tcPr>
          <w:p w14:paraId="19C499BF"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28.45</w:t>
            </w:r>
          </w:p>
        </w:tc>
      </w:tr>
      <w:tr w:rsidR="00355FC1" w14:paraId="40E81349"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vAlign w:val="center"/>
          </w:tcPr>
          <w:p w14:paraId="1E8073D2"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478B7B02"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vAlign w:val="center"/>
          </w:tcPr>
          <w:p w14:paraId="2F4A116E"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29.23</w:t>
            </w:r>
          </w:p>
        </w:tc>
      </w:tr>
      <w:tr w:rsidR="00355FC1" w14:paraId="71A314A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vAlign w:val="center"/>
          </w:tcPr>
          <w:p w14:paraId="4E0D5C84"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28.43</w:t>
            </w:r>
          </w:p>
        </w:tc>
      </w:tr>
      <w:tr w:rsidR="00355FC1" w14:paraId="6639782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vAlign w:val="center"/>
          </w:tcPr>
          <w:p w14:paraId="02E6AAF7"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28.45</w:t>
            </w:r>
          </w:p>
        </w:tc>
      </w:tr>
      <w:tr w:rsidR="00355FC1" w14:paraId="4FC9CB4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vAlign w:val="center"/>
          </w:tcPr>
          <w:p w14:paraId="73F31717"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139CBC94"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vAlign w:val="center"/>
          </w:tcPr>
          <w:p w14:paraId="39E7FB34"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19497259"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vAlign w:val="center"/>
          </w:tcPr>
          <w:p w14:paraId="09ABA79A"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29.17</w:t>
            </w:r>
          </w:p>
        </w:tc>
      </w:tr>
      <w:tr w:rsidR="00355FC1" w14:paraId="6F335593"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vAlign w:val="center"/>
          </w:tcPr>
          <w:p w14:paraId="11B88783"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74239FB2"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vAlign w:val="center"/>
          </w:tcPr>
          <w:p w14:paraId="51884749"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4EAD5BE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vAlign w:val="center"/>
          </w:tcPr>
          <w:p w14:paraId="19864262"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3EC5C1FE"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vAlign w:val="center"/>
          </w:tcPr>
          <w:p w14:paraId="42FEA9D2"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3A271425"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355FC1" w:rsidRDefault="00BE17D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355FC1" w:rsidRDefault="00BE17D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vAlign w:val="center"/>
          </w:tcPr>
          <w:p w14:paraId="618804A5" w14:textId="77777777" w:rsidR="00355FC1" w:rsidRDefault="00BE17DB">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BE17DB">
      <w:pPr>
        <w:spacing w:line="480" w:lineRule="auto"/>
        <w:rPr>
          <w:rFonts w:ascii="Times New Roman" w:eastAsia="Times New Roman" w:hAnsi="Times New Roman" w:cs="Times New Roman"/>
          <w:b/>
        </w:rPr>
      </w:pPr>
      <w:r>
        <w:br w:type="page"/>
      </w:r>
    </w:p>
    <w:p w14:paraId="610C53F6"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16">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a0"/>
        <w:tblW w:w="9285" w:type="dxa"/>
        <w:tblBorders>
          <w:top w:val="nil"/>
          <w:left w:val="nil"/>
          <w:bottom w:val="nil"/>
          <w:right w:val="nil"/>
          <w:insideH w:val="nil"/>
          <w:insideV w:val="nil"/>
        </w:tblBorders>
        <w:tblLayout w:type="fixed"/>
        <w:tblLook w:val="0600" w:firstRow="0" w:lastRow="0" w:firstColumn="0" w:lastColumn="0" w:noHBand="1" w:noVBand="1"/>
      </w:tblPr>
      <w:tblGrid>
        <w:gridCol w:w="1125"/>
        <w:gridCol w:w="1575"/>
        <w:gridCol w:w="2115"/>
        <w:gridCol w:w="1125"/>
        <w:gridCol w:w="1230"/>
        <w:gridCol w:w="2115"/>
      </w:tblGrid>
      <w:tr w:rsidR="00355FC1" w14:paraId="5014F49B" w14:textId="77777777">
        <w:trPr>
          <w:trHeight w:val="440"/>
        </w:trPr>
        <w:tc>
          <w:tcPr>
            <w:tcW w:w="1125" w:type="dxa"/>
            <w:tcMar>
              <w:top w:w="100" w:type="dxa"/>
              <w:left w:w="100" w:type="dxa"/>
              <w:bottom w:w="100" w:type="dxa"/>
              <w:right w:w="100" w:type="dxa"/>
            </w:tcMar>
          </w:tcPr>
          <w:p w14:paraId="190E28BA" w14:textId="77777777" w:rsidR="00355FC1" w:rsidRDefault="00355FC1">
            <w:pPr>
              <w:widowControl w:val="0"/>
              <w:pBdr>
                <w:top w:val="nil"/>
                <w:left w:val="nil"/>
                <w:bottom w:val="nil"/>
                <w:right w:val="nil"/>
                <w:between w:val="nil"/>
              </w:pBdr>
              <w:spacing w:line="276" w:lineRule="auto"/>
              <w:rPr>
                <w:rFonts w:ascii="Times New Roman" w:eastAsia="Times New Roman" w:hAnsi="Times New Roman" w:cs="Times New Roman"/>
              </w:rPr>
            </w:pPr>
          </w:p>
        </w:tc>
        <w:tc>
          <w:tcPr>
            <w:tcW w:w="1575" w:type="dxa"/>
            <w:tcMar>
              <w:top w:w="100" w:type="dxa"/>
              <w:left w:w="100" w:type="dxa"/>
              <w:bottom w:w="100" w:type="dxa"/>
              <w:right w:w="100" w:type="dxa"/>
            </w:tcMar>
          </w:tcPr>
          <w:p w14:paraId="4F3D244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Mar>
              <w:top w:w="100" w:type="dxa"/>
              <w:left w:w="100" w:type="dxa"/>
              <w:bottom w:w="100" w:type="dxa"/>
              <w:right w:w="100" w:type="dxa"/>
            </w:tcMar>
          </w:tcPr>
          <w:p w14:paraId="77A4FD1F"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Akrotiri and Dhekelia</w:t>
            </w:r>
          </w:p>
        </w:tc>
        <w:tc>
          <w:tcPr>
            <w:tcW w:w="1125" w:type="dxa"/>
            <w:tcMar>
              <w:top w:w="100" w:type="dxa"/>
              <w:left w:w="100" w:type="dxa"/>
              <w:bottom w:w="100" w:type="dxa"/>
              <w:right w:w="100" w:type="dxa"/>
            </w:tcMar>
          </w:tcPr>
          <w:p w14:paraId="0F8F85D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Åland</w:t>
            </w:r>
          </w:p>
        </w:tc>
        <w:tc>
          <w:tcPr>
            <w:tcW w:w="1230" w:type="dxa"/>
            <w:tcMar>
              <w:top w:w="100" w:type="dxa"/>
              <w:left w:w="100" w:type="dxa"/>
              <w:bottom w:w="100" w:type="dxa"/>
              <w:right w:w="100" w:type="dxa"/>
            </w:tcMar>
          </w:tcPr>
          <w:p w14:paraId="100EABC7"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Albania</w:t>
            </w:r>
          </w:p>
        </w:tc>
        <w:tc>
          <w:tcPr>
            <w:tcW w:w="2115" w:type="dxa"/>
            <w:tcMar>
              <w:top w:w="100" w:type="dxa"/>
              <w:left w:w="100" w:type="dxa"/>
              <w:bottom w:w="100" w:type="dxa"/>
              <w:right w:w="100" w:type="dxa"/>
            </w:tcMar>
          </w:tcPr>
          <w:p w14:paraId="1DE0B1E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Algeria</w:t>
            </w:r>
          </w:p>
        </w:tc>
      </w:tr>
      <w:tr w:rsidR="00355FC1" w14:paraId="0E56C154" w14:textId="77777777">
        <w:trPr>
          <w:trHeight w:val="440"/>
        </w:trPr>
        <w:tc>
          <w:tcPr>
            <w:tcW w:w="1125" w:type="dxa"/>
            <w:tcMar>
              <w:top w:w="100" w:type="dxa"/>
              <w:left w:w="100" w:type="dxa"/>
              <w:bottom w:w="100" w:type="dxa"/>
              <w:right w:w="100" w:type="dxa"/>
            </w:tcMar>
          </w:tcPr>
          <w:p w14:paraId="4EF8BF6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N</w:t>
            </w:r>
          </w:p>
        </w:tc>
        <w:tc>
          <w:tcPr>
            <w:tcW w:w="1575" w:type="dxa"/>
            <w:tcMar>
              <w:top w:w="100" w:type="dxa"/>
              <w:left w:w="100" w:type="dxa"/>
              <w:bottom w:w="100" w:type="dxa"/>
              <w:right w:w="100" w:type="dxa"/>
            </w:tcMar>
          </w:tcPr>
          <w:p w14:paraId="37D42EEF"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22.94</w:t>
            </w:r>
          </w:p>
        </w:tc>
        <w:tc>
          <w:tcPr>
            <w:tcW w:w="2115" w:type="dxa"/>
            <w:tcMar>
              <w:top w:w="100" w:type="dxa"/>
              <w:left w:w="100" w:type="dxa"/>
              <w:bottom w:w="100" w:type="dxa"/>
              <w:right w:w="100" w:type="dxa"/>
            </w:tcMar>
          </w:tcPr>
          <w:p w14:paraId="6219501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0022E80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562B8A8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18.75</w:t>
            </w:r>
          </w:p>
        </w:tc>
        <w:tc>
          <w:tcPr>
            <w:tcW w:w="2115" w:type="dxa"/>
            <w:tcMar>
              <w:top w:w="100" w:type="dxa"/>
              <w:left w:w="100" w:type="dxa"/>
              <w:bottom w:w="100" w:type="dxa"/>
              <w:right w:w="100" w:type="dxa"/>
            </w:tcMar>
          </w:tcPr>
          <w:p w14:paraId="5F6DB21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32.66</w:t>
            </w:r>
          </w:p>
        </w:tc>
      </w:tr>
      <w:tr w:rsidR="00355FC1" w14:paraId="38AE6E5E" w14:textId="77777777">
        <w:trPr>
          <w:trHeight w:val="440"/>
        </w:trPr>
        <w:tc>
          <w:tcPr>
            <w:tcW w:w="1125" w:type="dxa"/>
            <w:tcMar>
              <w:top w:w="100" w:type="dxa"/>
              <w:left w:w="100" w:type="dxa"/>
              <w:bottom w:w="100" w:type="dxa"/>
              <w:right w:w="100" w:type="dxa"/>
            </w:tcMar>
          </w:tcPr>
          <w:p w14:paraId="31436F3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G</w:t>
            </w:r>
          </w:p>
        </w:tc>
        <w:tc>
          <w:tcPr>
            <w:tcW w:w="1575" w:type="dxa"/>
            <w:tcMar>
              <w:top w:w="100" w:type="dxa"/>
              <w:left w:w="100" w:type="dxa"/>
              <w:bottom w:w="100" w:type="dxa"/>
              <w:right w:w="100" w:type="dxa"/>
            </w:tcMar>
          </w:tcPr>
          <w:p w14:paraId="030F21B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15.76</w:t>
            </w:r>
          </w:p>
        </w:tc>
        <w:tc>
          <w:tcPr>
            <w:tcW w:w="2115" w:type="dxa"/>
            <w:tcMar>
              <w:top w:w="100" w:type="dxa"/>
              <w:left w:w="100" w:type="dxa"/>
              <w:bottom w:w="100" w:type="dxa"/>
              <w:right w:w="100" w:type="dxa"/>
            </w:tcMar>
          </w:tcPr>
          <w:p w14:paraId="768D7046"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2B1924DF"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91.67</w:t>
            </w:r>
          </w:p>
        </w:tc>
        <w:tc>
          <w:tcPr>
            <w:tcW w:w="1230" w:type="dxa"/>
            <w:tcMar>
              <w:top w:w="100" w:type="dxa"/>
              <w:left w:w="100" w:type="dxa"/>
              <w:bottom w:w="100" w:type="dxa"/>
              <w:right w:w="100" w:type="dxa"/>
            </w:tcMar>
          </w:tcPr>
          <w:p w14:paraId="7EA837B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17.71</w:t>
            </w:r>
          </w:p>
        </w:tc>
        <w:tc>
          <w:tcPr>
            <w:tcW w:w="2115" w:type="dxa"/>
            <w:tcMar>
              <w:top w:w="100" w:type="dxa"/>
              <w:left w:w="100" w:type="dxa"/>
              <w:bottom w:w="100" w:type="dxa"/>
              <w:right w:w="100" w:type="dxa"/>
            </w:tcMar>
          </w:tcPr>
          <w:p w14:paraId="166EEE08"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20.52</w:t>
            </w:r>
          </w:p>
        </w:tc>
      </w:tr>
      <w:tr w:rsidR="00355FC1" w14:paraId="7EB88707" w14:textId="77777777">
        <w:trPr>
          <w:trHeight w:val="440"/>
        </w:trPr>
        <w:tc>
          <w:tcPr>
            <w:tcW w:w="1125" w:type="dxa"/>
            <w:tcMar>
              <w:top w:w="100" w:type="dxa"/>
              <w:left w:w="100" w:type="dxa"/>
              <w:bottom w:w="100" w:type="dxa"/>
              <w:right w:w="100" w:type="dxa"/>
            </w:tcMar>
          </w:tcPr>
          <w:p w14:paraId="16CCCE3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L</w:t>
            </w:r>
          </w:p>
        </w:tc>
        <w:tc>
          <w:tcPr>
            <w:tcW w:w="1575" w:type="dxa"/>
            <w:tcMar>
              <w:top w:w="100" w:type="dxa"/>
              <w:left w:w="100" w:type="dxa"/>
              <w:bottom w:w="100" w:type="dxa"/>
              <w:right w:w="100" w:type="dxa"/>
            </w:tcMar>
          </w:tcPr>
          <w:p w14:paraId="4A10B59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26.58</w:t>
            </w:r>
          </w:p>
        </w:tc>
        <w:tc>
          <w:tcPr>
            <w:tcW w:w="2115" w:type="dxa"/>
            <w:tcMar>
              <w:top w:w="100" w:type="dxa"/>
              <w:left w:w="100" w:type="dxa"/>
              <w:bottom w:w="100" w:type="dxa"/>
              <w:right w:w="100" w:type="dxa"/>
            </w:tcMar>
          </w:tcPr>
          <w:p w14:paraId="7E12CA2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31E3114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33.33</w:t>
            </w:r>
          </w:p>
        </w:tc>
        <w:tc>
          <w:tcPr>
            <w:tcW w:w="1230" w:type="dxa"/>
            <w:tcMar>
              <w:top w:w="100" w:type="dxa"/>
              <w:left w:w="100" w:type="dxa"/>
              <w:bottom w:w="100" w:type="dxa"/>
              <w:right w:w="100" w:type="dxa"/>
            </w:tcMar>
          </w:tcPr>
          <w:p w14:paraId="6F1A2D5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5A4AB2C1"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30.02</w:t>
            </w:r>
          </w:p>
        </w:tc>
      </w:tr>
      <w:tr w:rsidR="00355FC1" w14:paraId="1DE49AB3" w14:textId="77777777">
        <w:trPr>
          <w:trHeight w:val="440"/>
        </w:trPr>
        <w:tc>
          <w:tcPr>
            <w:tcW w:w="1125" w:type="dxa"/>
            <w:tcMar>
              <w:top w:w="100" w:type="dxa"/>
              <w:left w:w="100" w:type="dxa"/>
              <w:bottom w:w="100" w:type="dxa"/>
              <w:right w:w="100" w:type="dxa"/>
            </w:tcMar>
          </w:tcPr>
          <w:p w14:paraId="08210D7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C</w:t>
            </w:r>
          </w:p>
        </w:tc>
        <w:tc>
          <w:tcPr>
            <w:tcW w:w="1575" w:type="dxa"/>
            <w:tcMar>
              <w:top w:w="100" w:type="dxa"/>
              <w:left w:w="100" w:type="dxa"/>
              <w:bottom w:w="100" w:type="dxa"/>
              <w:right w:w="100" w:type="dxa"/>
            </w:tcMar>
          </w:tcPr>
          <w:p w14:paraId="770EFDE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24.82</w:t>
            </w:r>
          </w:p>
        </w:tc>
        <w:tc>
          <w:tcPr>
            <w:tcW w:w="2115" w:type="dxa"/>
            <w:tcMar>
              <w:top w:w="100" w:type="dxa"/>
              <w:left w:w="100" w:type="dxa"/>
              <w:bottom w:w="100" w:type="dxa"/>
              <w:right w:w="100" w:type="dxa"/>
            </w:tcMar>
          </w:tcPr>
          <w:p w14:paraId="1530499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7882D27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4DD1A93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22.92</w:t>
            </w:r>
          </w:p>
        </w:tc>
        <w:tc>
          <w:tcPr>
            <w:tcW w:w="2115" w:type="dxa"/>
            <w:tcMar>
              <w:top w:w="100" w:type="dxa"/>
              <w:left w:w="100" w:type="dxa"/>
              <w:bottom w:w="100" w:type="dxa"/>
              <w:right w:w="100" w:type="dxa"/>
            </w:tcMar>
          </w:tcPr>
          <w:p w14:paraId="7F55E95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22.53</w:t>
            </w:r>
          </w:p>
        </w:tc>
      </w:tr>
      <w:tr w:rsidR="00355FC1" w14:paraId="3E0B1056" w14:textId="77777777">
        <w:trPr>
          <w:trHeight w:val="440"/>
        </w:trPr>
        <w:tc>
          <w:tcPr>
            <w:tcW w:w="1125" w:type="dxa"/>
            <w:tcMar>
              <w:top w:w="100" w:type="dxa"/>
              <w:left w:w="100" w:type="dxa"/>
              <w:bottom w:w="100" w:type="dxa"/>
              <w:right w:w="100" w:type="dxa"/>
            </w:tcMar>
          </w:tcPr>
          <w:p w14:paraId="660F8996"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GL</w:t>
            </w:r>
          </w:p>
        </w:tc>
        <w:tc>
          <w:tcPr>
            <w:tcW w:w="1575" w:type="dxa"/>
            <w:tcMar>
              <w:top w:w="100" w:type="dxa"/>
              <w:left w:w="100" w:type="dxa"/>
              <w:bottom w:w="100" w:type="dxa"/>
              <w:right w:w="100" w:type="dxa"/>
            </w:tcMar>
          </w:tcPr>
          <w:p w14:paraId="7D1E210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26.54</w:t>
            </w:r>
          </w:p>
        </w:tc>
        <w:tc>
          <w:tcPr>
            <w:tcW w:w="2115" w:type="dxa"/>
            <w:tcMar>
              <w:top w:w="100" w:type="dxa"/>
              <w:left w:w="100" w:type="dxa"/>
              <w:bottom w:w="100" w:type="dxa"/>
              <w:right w:w="100" w:type="dxa"/>
            </w:tcMar>
          </w:tcPr>
          <w:p w14:paraId="07E6B63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38E9CC6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7C54470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22.22</w:t>
            </w:r>
          </w:p>
        </w:tc>
        <w:tc>
          <w:tcPr>
            <w:tcW w:w="2115" w:type="dxa"/>
            <w:tcMar>
              <w:top w:w="100" w:type="dxa"/>
              <w:left w:w="100" w:type="dxa"/>
              <w:bottom w:w="100" w:type="dxa"/>
              <w:right w:w="100" w:type="dxa"/>
            </w:tcMar>
          </w:tcPr>
          <w:p w14:paraId="483540F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29.87</w:t>
            </w:r>
          </w:p>
        </w:tc>
      </w:tr>
      <w:tr w:rsidR="00355FC1" w14:paraId="3949373D" w14:textId="77777777">
        <w:trPr>
          <w:trHeight w:val="440"/>
        </w:trPr>
        <w:tc>
          <w:tcPr>
            <w:tcW w:w="1125" w:type="dxa"/>
            <w:tcMar>
              <w:top w:w="100" w:type="dxa"/>
              <w:left w:w="100" w:type="dxa"/>
              <w:bottom w:w="100" w:type="dxa"/>
              <w:right w:w="100" w:type="dxa"/>
            </w:tcMar>
          </w:tcPr>
          <w:p w14:paraId="497E98B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LG</w:t>
            </w:r>
          </w:p>
        </w:tc>
        <w:tc>
          <w:tcPr>
            <w:tcW w:w="1575" w:type="dxa"/>
            <w:tcMar>
              <w:top w:w="100" w:type="dxa"/>
              <w:left w:w="100" w:type="dxa"/>
              <w:bottom w:w="100" w:type="dxa"/>
              <w:right w:w="100" w:type="dxa"/>
            </w:tcMar>
          </w:tcPr>
          <w:p w14:paraId="18B4BC4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26.65</w:t>
            </w:r>
          </w:p>
        </w:tc>
        <w:tc>
          <w:tcPr>
            <w:tcW w:w="2115" w:type="dxa"/>
            <w:tcMar>
              <w:top w:w="100" w:type="dxa"/>
              <w:left w:w="100" w:type="dxa"/>
              <w:bottom w:w="100" w:type="dxa"/>
              <w:right w:w="100" w:type="dxa"/>
            </w:tcMar>
          </w:tcPr>
          <w:p w14:paraId="68A6F06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6761F47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25</w:t>
            </w:r>
          </w:p>
        </w:tc>
        <w:tc>
          <w:tcPr>
            <w:tcW w:w="1230" w:type="dxa"/>
            <w:tcMar>
              <w:top w:w="100" w:type="dxa"/>
              <w:left w:w="100" w:type="dxa"/>
              <w:bottom w:w="100" w:type="dxa"/>
              <w:right w:w="100" w:type="dxa"/>
            </w:tcMar>
          </w:tcPr>
          <w:p w14:paraId="33EB560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66507FF1"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29.97</w:t>
            </w:r>
          </w:p>
        </w:tc>
      </w:tr>
      <w:tr w:rsidR="00355FC1" w14:paraId="34A74301" w14:textId="77777777">
        <w:trPr>
          <w:trHeight w:val="440"/>
        </w:trPr>
        <w:tc>
          <w:tcPr>
            <w:tcW w:w="1125" w:type="dxa"/>
            <w:tcMar>
              <w:top w:w="100" w:type="dxa"/>
              <w:left w:w="100" w:type="dxa"/>
              <w:bottom w:w="100" w:type="dxa"/>
              <w:right w:w="100" w:type="dxa"/>
            </w:tcMar>
          </w:tcPr>
          <w:p w14:paraId="48D8EE36"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GC</w:t>
            </w:r>
          </w:p>
        </w:tc>
        <w:tc>
          <w:tcPr>
            <w:tcW w:w="1575" w:type="dxa"/>
            <w:tcMar>
              <w:top w:w="100" w:type="dxa"/>
              <w:left w:w="100" w:type="dxa"/>
              <w:bottom w:w="100" w:type="dxa"/>
              <w:right w:w="100" w:type="dxa"/>
            </w:tcMar>
          </w:tcPr>
          <w:p w14:paraId="4537594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15.93</w:t>
            </w:r>
          </w:p>
        </w:tc>
        <w:tc>
          <w:tcPr>
            <w:tcW w:w="2115" w:type="dxa"/>
            <w:tcMar>
              <w:top w:w="100" w:type="dxa"/>
              <w:left w:w="100" w:type="dxa"/>
              <w:bottom w:w="100" w:type="dxa"/>
              <w:right w:w="100" w:type="dxa"/>
            </w:tcMar>
          </w:tcPr>
          <w:p w14:paraId="77697D9E"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2504FB67"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75</w:t>
            </w:r>
          </w:p>
        </w:tc>
        <w:tc>
          <w:tcPr>
            <w:tcW w:w="1230" w:type="dxa"/>
            <w:tcMar>
              <w:top w:w="100" w:type="dxa"/>
              <w:left w:w="100" w:type="dxa"/>
              <w:bottom w:w="100" w:type="dxa"/>
              <w:right w:w="100" w:type="dxa"/>
            </w:tcMar>
          </w:tcPr>
          <w:p w14:paraId="4B2D729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17.36</w:t>
            </w:r>
          </w:p>
        </w:tc>
        <w:tc>
          <w:tcPr>
            <w:tcW w:w="2115" w:type="dxa"/>
            <w:tcMar>
              <w:top w:w="100" w:type="dxa"/>
              <w:left w:w="100" w:type="dxa"/>
              <w:bottom w:w="100" w:type="dxa"/>
              <w:right w:w="100" w:type="dxa"/>
            </w:tcMar>
          </w:tcPr>
          <w:p w14:paraId="2990D77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20.66</w:t>
            </w:r>
          </w:p>
        </w:tc>
      </w:tr>
      <w:tr w:rsidR="00355FC1" w14:paraId="4BCE88D9" w14:textId="77777777">
        <w:trPr>
          <w:trHeight w:val="440"/>
        </w:trPr>
        <w:tc>
          <w:tcPr>
            <w:tcW w:w="1125" w:type="dxa"/>
            <w:tcMar>
              <w:top w:w="100" w:type="dxa"/>
              <w:left w:w="100" w:type="dxa"/>
              <w:bottom w:w="100" w:type="dxa"/>
              <w:right w:w="100" w:type="dxa"/>
            </w:tcMar>
          </w:tcPr>
          <w:p w14:paraId="0FC2557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CG</w:t>
            </w:r>
          </w:p>
        </w:tc>
        <w:tc>
          <w:tcPr>
            <w:tcW w:w="1575" w:type="dxa"/>
            <w:tcMar>
              <w:top w:w="100" w:type="dxa"/>
              <w:left w:w="100" w:type="dxa"/>
              <w:bottom w:w="100" w:type="dxa"/>
              <w:right w:w="100" w:type="dxa"/>
            </w:tcMar>
          </w:tcPr>
          <w:p w14:paraId="2D561A8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24.68</w:t>
            </w:r>
          </w:p>
        </w:tc>
        <w:tc>
          <w:tcPr>
            <w:tcW w:w="2115" w:type="dxa"/>
            <w:tcMar>
              <w:top w:w="100" w:type="dxa"/>
              <w:left w:w="100" w:type="dxa"/>
              <w:bottom w:w="100" w:type="dxa"/>
              <w:right w:w="100" w:type="dxa"/>
            </w:tcMar>
          </w:tcPr>
          <w:p w14:paraId="5B44E537"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7D1A5AF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772012A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22.92</w:t>
            </w:r>
          </w:p>
        </w:tc>
        <w:tc>
          <w:tcPr>
            <w:tcW w:w="2115" w:type="dxa"/>
            <w:tcMar>
              <w:top w:w="100" w:type="dxa"/>
              <w:left w:w="100" w:type="dxa"/>
              <w:bottom w:w="100" w:type="dxa"/>
              <w:right w:w="100" w:type="dxa"/>
            </w:tcMar>
          </w:tcPr>
          <w:p w14:paraId="2478DD4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22.52</w:t>
            </w:r>
          </w:p>
        </w:tc>
      </w:tr>
      <w:tr w:rsidR="00355FC1" w14:paraId="53D44F61" w14:textId="77777777">
        <w:trPr>
          <w:trHeight w:val="440"/>
        </w:trPr>
        <w:tc>
          <w:tcPr>
            <w:tcW w:w="1125" w:type="dxa"/>
            <w:tcMar>
              <w:top w:w="100" w:type="dxa"/>
              <w:left w:w="100" w:type="dxa"/>
              <w:bottom w:w="100" w:type="dxa"/>
              <w:right w:w="100" w:type="dxa"/>
            </w:tcMar>
          </w:tcPr>
          <w:p w14:paraId="4D64B74F"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LC</w:t>
            </w:r>
          </w:p>
        </w:tc>
        <w:tc>
          <w:tcPr>
            <w:tcW w:w="1575" w:type="dxa"/>
            <w:tcMar>
              <w:top w:w="100" w:type="dxa"/>
              <w:left w:w="100" w:type="dxa"/>
              <w:bottom w:w="100" w:type="dxa"/>
              <w:right w:w="100" w:type="dxa"/>
            </w:tcMar>
          </w:tcPr>
          <w:p w14:paraId="2BD940A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26.72</w:t>
            </w:r>
          </w:p>
        </w:tc>
        <w:tc>
          <w:tcPr>
            <w:tcW w:w="2115" w:type="dxa"/>
            <w:tcMar>
              <w:top w:w="100" w:type="dxa"/>
              <w:left w:w="100" w:type="dxa"/>
              <w:bottom w:w="100" w:type="dxa"/>
              <w:right w:w="100" w:type="dxa"/>
            </w:tcMar>
          </w:tcPr>
          <w:p w14:paraId="4892BA56"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40034365"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16.67</w:t>
            </w:r>
          </w:p>
        </w:tc>
        <w:tc>
          <w:tcPr>
            <w:tcW w:w="1230" w:type="dxa"/>
            <w:tcMar>
              <w:top w:w="100" w:type="dxa"/>
              <w:left w:w="100" w:type="dxa"/>
              <w:bottom w:w="100" w:type="dxa"/>
              <w:right w:w="100" w:type="dxa"/>
            </w:tcMar>
          </w:tcPr>
          <w:p w14:paraId="583D3E7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21.18</w:t>
            </w:r>
          </w:p>
        </w:tc>
        <w:tc>
          <w:tcPr>
            <w:tcW w:w="2115" w:type="dxa"/>
            <w:tcMar>
              <w:top w:w="100" w:type="dxa"/>
              <w:left w:w="100" w:type="dxa"/>
              <w:bottom w:w="100" w:type="dxa"/>
              <w:right w:w="100" w:type="dxa"/>
            </w:tcMar>
          </w:tcPr>
          <w:p w14:paraId="40929E6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30.02</w:t>
            </w:r>
          </w:p>
        </w:tc>
      </w:tr>
      <w:tr w:rsidR="00355FC1" w14:paraId="563D6C7E" w14:textId="77777777">
        <w:trPr>
          <w:trHeight w:val="440"/>
        </w:trPr>
        <w:tc>
          <w:tcPr>
            <w:tcW w:w="1125" w:type="dxa"/>
            <w:tcMar>
              <w:top w:w="100" w:type="dxa"/>
              <w:left w:w="100" w:type="dxa"/>
              <w:bottom w:w="100" w:type="dxa"/>
              <w:right w:w="100" w:type="dxa"/>
            </w:tcMar>
          </w:tcPr>
          <w:p w14:paraId="12F61448"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CL</w:t>
            </w:r>
          </w:p>
        </w:tc>
        <w:tc>
          <w:tcPr>
            <w:tcW w:w="1575" w:type="dxa"/>
            <w:tcMar>
              <w:top w:w="100" w:type="dxa"/>
              <w:left w:w="100" w:type="dxa"/>
              <w:bottom w:w="100" w:type="dxa"/>
              <w:right w:w="100" w:type="dxa"/>
            </w:tcMar>
          </w:tcPr>
          <w:p w14:paraId="0574D20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26.52</w:t>
            </w:r>
          </w:p>
        </w:tc>
        <w:tc>
          <w:tcPr>
            <w:tcW w:w="2115" w:type="dxa"/>
            <w:tcMar>
              <w:top w:w="100" w:type="dxa"/>
              <w:left w:w="100" w:type="dxa"/>
              <w:bottom w:w="100" w:type="dxa"/>
              <w:right w:w="100" w:type="dxa"/>
            </w:tcMar>
          </w:tcPr>
          <w:p w14:paraId="6DAAB93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498FC52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2B8A302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6F66CFC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30.44</w:t>
            </w:r>
          </w:p>
        </w:tc>
      </w:tr>
      <w:tr w:rsidR="00355FC1" w14:paraId="67471CDF" w14:textId="77777777">
        <w:trPr>
          <w:trHeight w:val="440"/>
        </w:trPr>
        <w:tc>
          <w:tcPr>
            <w:tcW w:w="1125" w:type="dxa"/>
            <w:tcMar>
              <w:top w:w="100" w:type="dxa"/>
              <w:left w:w="100" w:type="dxa"/>
              <w:bottom w:w="100" w:type="dxa"/>
              <w:right w:w="100" w:type="dxa"/>
            </w:tcMar>
          </w:tcPr>
          <w:p w14:paraId="0D77F2F8"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GLC</w:t>
            </w:r>
          </w:p>
        </w:tc>
        <w:tc>
          <w:tcPr>
            <w:tcW w:w="1575" w:type="dxa"/>
            <w:tcMar>
              <w:top w:w="100" w:type="dxa"/>
              <w:left w:w="100" w:type="dxa"/>
              <w:bottom w:w="100" w:type="dxa"/>
              <w:right w:w="100" w:type="dxa"/>
            </w:tcMar>
          </w:tcPr>
          <w:p w14:paraId="4DB0DBB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26.51</w:t>
            </w:r>
          </w:p>
        </w:tc>
        <w:tc>
          <w:tcPr>
            <w:tcW w:w="2115" w:type="dxa"/>
            <w:tcMar>
              <w:top w:w="100" w:type="dxa"/>
              <w:left w:w="100" w:type="dxa"/>
              <w:bottom w:w="100" w:type="dxa"/>
              <w:right w:w="100" w:type="dxa"/>
            </w:tcMar>
          </w:tcPr>
          <w:p w14:paraId="14EA3AE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78E34D18"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431177FF"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21.18</w:t>
            </w:r>
          </w:p>
        </w:tc>
        <w:tc>
          <w:tcPr>
            <w:tcW w:w="2115" w:type="dxa"/>
            <w:tcMar>
              <w:top w:w="100" w:type="dxa"/>
              <w:left w:w="100" w:type="dxa"/>
              <w:bottom w:w="100" w:type="dxa"/>
              <w:right w:w="100" w:type="dxa"/>
            </w:tcMar>
          </w:tcPr>
          <w:p w14:paraId="1035493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29.83</w:t>
            </w:r>
          </w:p>
        </w:tc>
      </w:tr>
      <w:tr w:rsidR="00355FC1" w14:paraId="3FC53E37" w14:textId="77777777">
        <w:trPr>
          <w:trHeight w:val="440"/>
        </w:trPr>
        <w:tc>
          <w:tcPr>
            <w:tcW w:w="1125" w:type="dxa"/>
            <w:tcMar>
              <w:top w:w="100" w:type="dxa"/>
              <w:left w:w="100" w:type="dxa"/>
              <w:bottom w:w="100" w:type="dxa"/>
              <w:right w:w="100" w:type="dxa"/>
            </w:tcMar>
          </w:tcPr>
          <w:p w14:paraId="2E2B78F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GCL</w:t>
            </w:r>
          </w:p>
        </w:tc>
        <w:tc>
          <w:tcPr>
            <w:tcW w:w="1575" w:type="dxa"/>
            <w:tcMar>
              <w:top w:w="100" w:type="dxa"/>
              <w:left w:w="100" w:type="dxa"/>
              <w:bottom w:w="100" w:type="dxa"/>
              <w:right w:w="100" w:type="dxa"/>
            </w:tcMar>
          </w:tcPr>
          <w:p w14:paraId="54CB9EE6"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26.52</w:t>
            </w:r>
          </w:p>
        </w:tc>
        <w:tc>
          <w:tcPr>
            <w:tcW w:w="2115" w:type="dxa"/>
            <w:tcMar>
              <w:top w:w="100" w:type="dxa"/>
              <w:left w:w="100" w:type="dxa"/>
              <w:bottom w:w="100" w:type="dxa"/>
              <w:right w:w="100" w:type="dxa"/>
            </w:tcMar>
          </w:tcPr>
          <w:p w14:paraId="229BC63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4D1095C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104E0287"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1BC3C0B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30.49</w:t>
            </w:r>
          </w:p>
        </w:tc>
      </w:tr>
      <w:tr w:rsidR="00355FC1" w14:paraId="68BAE8C4" w14:textId="77777777">
        <w:trPr>
          <w:trHeight w:val="440"/>
        </w:trPr>
        <w:tc>
          <w:tcPr>
            <w:tcW w:w="1125" w:type="dxa"/>
            <w:tcMar>
              <w:top w:w="100" w:type="dxa"/>
              <w:left w:w="100" w:type="dxa"/>
              <w:bottom w:w="100" w:type="dxa"/>
              <w:right w:w="100" w:type="dxa"/>
            </w:tcMar>
          </w:tcPr>
          <w:p w14:paraId="0CF0A8F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LGC</w:t>
            </w:r>
          </w:p>
        </w:tc>
        <w:tc>
          <w:tcPr>
            <w:tcW w:w="1575" w:type="dxa"/>
            <w:tcMar>
              <w:top w:w="100" w:type="dxa"/>
              <w:left w:w="100" w:type="dxa"/>
              <w:bottom w:w="100" w:type="dxa"/>
              <w:right w:w="100" w:type="dxa"/>
            </w:tcMar>
          </w:tcPr>
          <w:p w14:paraId="078F9FB2"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26.71</w:t>
            </w:r>
          </w:p>
        </w:tc>
        <w:tc>
          <w:tcPr>
            <w:tcW w:w="2115" w:type="dxa"/>
            <w:tcMar>
              <w:top w:w="100" w:type="dxa"/>
              <w:left w:w="100" w:type="dxa"/>
              <w:bottom w:w="100" w:type="dxa"/>
              <w:right w:w="100" w:type="dxa"/>
            </w:tcMar>
          </w:tcPr>
          <w:p w14:paraId="2BEE2278"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69AD0EE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25</w:t>
            </w:r>
          </w:p>
        </w:tc>
        <w:tc>
          <w:tcPr>
            <w:tcW w:w="1230" w:type="dxa"/>
            <w:tcMar>
              <w:top w:w="100" w:type="dxa"/>
              <w:left w:w="100" w:type="dxa"/>
              <w:bottom w:w="100" w:type="dxa"/>
              <w:right w:w="100" w:type="dxa"/>
            </w:tcMar>
          </w:tcPr>
          <w:p w14:paraId="2F21FF2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20.83</w:t>
            </w:r>
          </w:p>
        </w:tc>
        <w:tc>
          <w:tcPr>
            <w:tcW w:w="2115" w:type="dxa"/>
            <w:tcMar>
              <w:top w:w="100" w:type="dxa"/>
              <w:left w:w="100" w:type="dxa"/>
              <w:bottom w:w="100" w:type="dxa"/>
              <w:right w:w="100" w:type="dxa"/>
            </w:tcMar>
          </w:tcPr>
          <w:p w14:paraId="4645397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29.99</w:t>
            </w:r>
          </w:p>
        </w:tc>
      </w:tr>
      <w:tr w:rsidR="00355FC1" w14:paraId="268D37B3" w14:textId="77777777">
        <w:trPr>
          <w:trHeight w:val="440"/>
        </w:trPr>
        <w:tc>
          <w:tcPr>
            <w:tcW w:w="1125" w:type="dxa"/>
            <w:tcMar>
              <w:top w:w="100" w:type="dxa"/>
              <w:left w:w="100" w:type="dxa"/>
              <w:bottom w:w="100" w:type="dxa"/>
              <w:right w:w="100" w:type="dxa"/>
            </w:tcMar>
          </w:tcPr>
          <w:p w14:paraId="6580932C"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LCG</w:t>
            </w:r>
          </w:p>
        </w:tc>
        <w:tc>
          <w:tcPr>
            <w:tcW w:w="1575" w:type="dxa"/>
            <w:tcMar>
              <w:top w:w="100" w:type="dxa"/>
              <w:left w:w="100" w:type="dxa"/>
              <w:bottom w:w="100" w:type="dxa"/>
              <w:right w:w="100" w:type="dxa"/>
            </w:tcMar>
          </w:tcPr>
          <w:p w14:paraId="109AF560"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26.72</w:t>
            </w:r>
          </w:p>
        </w:tc>
        <w:tc>
          <w:tcPr>
            <w:tcW w:w="2115" w:type="dxa"/>
            <w:tcMar>
              <w:top w:w="100" w:type="dxa"/>
              <w:left w:w="100" w:type="dxa"/>
              <w:bottom w:w="100" w:type="dxa"/>
              <w:right w:w="100" w:type="dxa"/>
            </w:tcMar>
          </w:tcPr>
          <w:p w14:paraId="23C4170E"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34B529E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16.67</w:t>
            </w:r>
          </w:p>
        </w:tc>
        <w:tc>
          <w:tcPr>
            <w:tcW w:w="1230" w:type="dxa"/>
            <w:tcMar>
              <w:top w:w="100" w:type="dxa"/>
              <w:left w:w="100" w:type="dxa"/>
              <w:bottom w:w="100" w:type="dxa"/>
              <w:right w:w="100" w:type="dxa"/>
            </w:tcMar>
          </w:tcPr>
          <w:p w14:paraId="2514ACF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21.18</w:t>
            </w:r>
          </w:p>
        </w:tc>
        <w:tc>
          <w:tcPr>
            <w:tcW w:w="2115" w:type="dxa"/>
            <w:tcMar>
              <w:top w:w="100" w:type="dxa"/>
              <w:left w:w="100" w:type="dxa"/>
              <w:bottom w:w="100" w:type="dxa"/>
              <w:right w:w="100" w:type="dxa"/>
            </w:tcMar>
          </w:tcPr>
          <w:p w14:paraId="253CBF8D"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30.02</w:t>
            </w:r>
          </w:p>
        </w:tc>
      </w:tr>
      <w:tr w:rsidR="00355FC1" w14:paraId="1C361318" w14:textId="77777777">
        <w:trPr>
          <w:trHeight w:val="440"/>
        </w:trPr>
        <w:tc>
          <w:tcPr>
            <w:tcW w:w="1125" w:type="dxa"/>
            <w:tcMar>
              <w:top w:w="100" w:type="dxa"/>
              <w:left w:w="100" w:type="dxa"/>
              <w:bottom w:w="100" w:type="dxa"/>
              <w:right w:w="100" w:type="dxa"/>
            </w:tcMar>
          </w:tcPr>
          <w:p w14:paraId="129E9FB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CGL</w:t>
            </w:r>
          </w:p>
        </w:tc>
        <w:tc>
          <w:tcPr>
            <w:tcW w:w="1575" w:type="dxa"/>
            <w:tcMar>
              <w:top w:w="100" w:type="dxa"/>
              <w:left w:w="100" w:type="dxa"/>
              <w:bottom w:w="100" w:type="dxa"/>
              <w:right w:w="100" w:type="dxa"/>
            </w:tcMar>
          </w:tcPr>
          <w:p w14:paraId="6A616F6A"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26.54</w:t>
            </w:r>
          </w:p>
        </w:tc>
        <w:tc>
          <w:tcPr>
            <w:tcW w:w="2115" w:type="dxa"/>
            <w:tcMar>
              <w:top w:w="100" w:type="dxa"/>
              <w:left w:w="100" w:type="dxa"/>
              <w:bottom w:w="100" w:type="dxa"/>
              <w:right w:w="100" w:type="dxa"/>
            </w:tcMar>
          </w:tcPr>
          <w:p w14:paraId="36FC2A1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02E7CCD7"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11A9F9B9"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40DDE8B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30.19</w:t>
            </w:r>
          </w:p>
        </w:tc>
      </w:tr>
      <w:tr w:rsidR="00355FC1" w14:paraId="0CC11BE0" w14:textId="77777777">
        <w:trPr>
          <w:trHeight w:val="440"/>
        </w:trPr>
        <w:tc>
          <w:tcPr>
            <w:tcW w:w="1125" w:type="dxa"/>
            <w:tcMar>
              <w:top w:w="100" w:type="dxa"/>
              <w:left w:w="100" w:type="dxa"/>
              <w:bottom w:w="100" w:type="dxa"/>
              <w:right w:w="100" w:type="dxa"/>
            </w:tcMar>
          </w:tcPr>
          <w:p w14:paraId="61874C4B"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CLG</w:t>
            </w:r>
          </w:p>
        </w:tc>
        <w:tc>
          <w:tcPr>
            <w:tcW w:w="1575" w:type="dxa"/>
            <w:tcMar>
              <w:top w:w="100" w:type="dxa"/>
              <w:left w:w="100" w:type="dxa"/>
              <w:bottom w:w="100" w:type="dxa"/>
              <w:right w:w="100" w:type="dxa"/>
            </w:tcMar>
          </w:tcPr>
          <w:p w14:paraId="1E86CB8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26.52</w:t>
            </w:r>
          </w:p>
        </w:tc>
        <w:tc>
          <w:tcPr>
            <w:tcW w:w="2115" w:type="dxa"/>
            <w:tcMar>
              <w:top w:w="100" w:type="dxa"/>
              <w:left w:w="100" w:type="dxa"/>
              <w:bottom w:w="100" w:type="dxa"/>
              <w:right w:w="100" w:type="dxa"/>
            </w:tcMar>
          </w:tcPr>
          <w:p w14:paraId="343A3A81"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50</w:t>
            </w:r>
          </w:p>
        </w:tc>
        <w:tc>
          <w:tcPr>
            <w:tcW w:w="1125" w:type="dxa"/>
            <w:tcMar>
              <w:top w:w="100" w:type="dxa"/>
              <w:left w:w="100" w:type="dxa"/>
              <w:bottom w:w="100" w:type="dxa"/>
              <w:right w:w="100" w:type="dxa"/>
            </w:tcMar>
          </w:tcPr>
          <w:p w14:paraId="38E33F81"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0</w:t>
            </w:r>
          </w:p>
        </w:tc>
        <w:tc>
          <w:tcPr>
            <w:tcW w:w="1230" w:type="dxa"/>
            <w:tcMar>
              <w:top w:w="100" w:type="dxa"/>
              <w:left w:w="100" w:type="dxa"/>
              <w:bottom w:w="100" w:type="dxa"/>
              <w:right w:w="100" w:type="dxa"/>
            </w:tcMar>
          </w:tcPr>
          <w:p w14:paraId="01080D23"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21.88</w:t>
            </w:r>
          </w:p>
        </w:tc>
        <w:tc>
          <w:tcPr>
            <w:tcW w:w="2115" w:type="dxa"/>
            <w:tcMar>
              <w:top w:w="100" w:type="dxa"/>
              <w:left w:w="100" w:type="dxa"/>
              <w:bottom w:w="100" w:type="dxa"/>
              <w:right w:w="100" w:type="dxa"/>
            </w:tcMar>
          </w:tcPr>
          <w:p w14:paraId="2CEC9FF4" w14:textId="77777777" w:rsidR="00355FC1" w:rsidRDefault="00BE17DB">
            <w:pPr>
              <w:widowControl w:val="0"/>
              <w:pBdr>
                <w:top w:val="nil"/>
                <w:left w:val="nil"/>
                <w:bottom w:val="nil"/>
                <w:right w:val="nil"/>
                <w:between w:val="nil"/>
              </w:pBdr>
              <w:spacing w:line="276" w:lineRule="auto"/>
              <w:rPr>
                <w:rFonts w:ascii="Times New Roman" w:eastAsia="Times New Roman" w:hAnsi="Times New Roman" w:cs="Times New Roman"/>
              </w:rPr>
            </w:pPr>
            <w:r>
              <w:rPr>
                <w:rFonts w:ascii="Times New Roman" w:eastAsia="Times New Roman" w:hAnsi="Times New Roman" w:cs="Times New Roman"/>
              </w:rPr>
              <w:t>30.44</w:t>
            </w:r>
          </w:p>
        </w:tc>
      </w:tr>
    </w:tbl>
    <w:p w14:paraId="6757233F" w14:textId="77777777" w:rsidR="00355FC1" w:rsidRDefault="00355FC1">
      <w:pPr>
        <w:spacing w:line="480" w:lineRule="auto"/>
        <w:rPr>
          <w:rFonts w:ascii="Times New Roman" w:eastAsia="Times New Roman" w:hAnsi="Times New Roman" w:cs="Times New Roman"/>
        </w:rPr>
      </w:pPr>
    </w:p>
    <w:p w14:paraId="14F0194B" w14:textId="77777777" w:rsidR="00355FC1" w:rsidRDefault="00355FC1">
      <w:pPr>
        <w:spacing w:line="480" w:lineRule="auto"/>
        <w:rPr>
          <w:rFonts w:ascii="Times New Roman" w:eastAsia="Times New Roman" w:hAnsi="Times New Roman" w:cs="Times New Roman"/>
        </w:rPr>
      </w:pPr>
    </w:p>
    <w:p w14:paraId="5A071588"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Table S3. Governance risk score table (see csv)</w:t>
      </w:r>
      <w:r>
        <w:rPr>
          <w:rFonts w:ascii="Times New Roman" w:eastAsia="Times New Roman" w:hAnsi="Times New Roman" w:cs="Times New Roman"/>
          <w:b/>
        </w:rPr>
        <w:br/>
      </w:r>
      <w:hyperlink r:id="rId17">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BE17DB">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BE17DB">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8">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w:t>
            </w:r>
            <w:r>
              <w:rPr>
                <w:rFonts w:ascii="Times New Roman" w:eastAsia="Times New Roman" w:hAnsi="Times New Roman" w:cs="Times New Roman"/>
              </w:rPr>
              <w:t xml:space="preserve">untability </w:t>
            </w:r>
            <w:proofErr w:type="gramStart"/>
            <w:r>
              <w:rPr>
                <w:rFonts w:ascii="Times New Roman" w:eastAsia="Times New Roman" w:hAnsi="Times New Roman" w:cs="Times New Roman"/>
              </w:rPr>
              <w:t>captures</w:t>
            </w:r>
            <w:proofErr w:type="gramEnd"/>
            <w:r>
              <w:rPr>
                <w:rFonts w:ascii="Times New Roman" w:eastAsia="Times New Roman" w:hAnsi="Times New Roman" w:cs="Times New Roman"/>
              </w:rPr>
              <w:t xml:space="preserve">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“Po</w:t>
            </w:r>
            <w:r>
              <w:rPr>
                <w:rFonts w:ascii="Times New Roman" w:eastAsia="Times New Roman" w:hAnsi="Times New Roman" w:cs="Times New Roman"/>
              </w:rPr>
              <w:t>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w:t>
            </w:r>
            <w:r>
              <w:rPr>
                <w:rFonts w:ascii="Times New Roman" w:eastAsia="Times New Roman" w:hAnsi="Times New Roman" w:cs="Times New Roman"/>
              </w:rPr>
              <w:t xml:space="preserv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Rule o</w:t>
            </w:r>
            <w:r>
              <w:rPr>
                <w:rFonts w:ascii="Times New Roman" w:eastAsia="Times New Roman" w:hAnsi="Times New Roman" w:cs="Times New Roman"/>
              </w:rPr>
              <w:t>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 captures perceptions of the extent to which agents have confidence in and abide by the rules of society, and in particular the quality of contract enforcement, property rights, the police, and the courts, as well as the likelihood of cri</w:t>
            </w:r>
            <w:r>
              <w:rPr>
                <w:rFonts w:ascii="Times New Roman" w:eastAsia="Times New Roman" w:hAnsi="Times New Roman" w:cs="Times New Roman"/>
              </w:rPr>
              <w:t>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BE17DB">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Figure S1.</w:t>
      </w:r>
      <w:r>
        <w:rPr>
          <w:rFonts w:ascii="Times New Roman" w:eastAsia="Times New Roman" w:hAnsi="Times New Roman" w:cs="Times New Roman"/>
          <w:b/>
        </w:rPr>
        <w:t xml:space="preserve"> Governance risk (yellow = low, blue= high)</w:t>
      </w:r>
    </w:p>
    <w:p w14:paraId="4AFC5A01"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2336" behindDoc="0" locked="0" layoutInCell="1" hidden="0" allowOverlap="1" wp14:anchorId="35CC2960" wp14:editId="745C09F6">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618220" cy="4787900"/>
                    </a:xfrm>
                    <a:prstGeom prst="rect">
                      <a:avLst/>
                    </a:prstGeom>
                    <a:ln/>
                  </pic:spPr>
                </pic:pic>
              </a:graphicData>
            </a:graphic>
          </wp:anchor>
        </w:drawing>
      </w:r>
    </w:p>
    <w:p w14:paraId="4E15C2FC" w14:textId="77777777" w:rsidR="00355FC1" w:rsidRDefault="00BE17DB">
      <w:pPr>
        <w:spacing w:line="480" w:lineRule="auto"/>
        <w:rPr>
          <w:rFonts w:ascii="Times New Roman" w:eastAsia="Times New Roman" w:hAnsi="Times New Roman" w:cs="Times New Roman"/>
          <w:b/>
        </w:rPr>
      </w:pPr>
      <w:r>
        <w:br w:type="page"/>
      </w:r>
    </w:p>
    <w:p w14:paraId="33E62998"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Figure S2. Land systems risk (yellow = low, blue= high)</w:t>
      </w:r>
    </w:p>
    <w:p w14:paraId="1FD68336"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3360" behindDoc="0" locked="0" layoutInCell="1" hidden="0" allowOverlap="1" wp14:anchorId="09F70F9E" wp14:editId="661ECD94">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8618220" cy="4787900"/>
                    </a:xfrm>
                    <a:prstGeom prst="rect">
                      <a:avLst/>
                    </a:prstGeom>
                    <a:ln/>
                  </pic:spPr>
                </pic:pic>
              </a:graphicData>
            </a:graphic>
          </wp:anchor>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BE17DB">
      <w:pPr>
        <w:spacing w:line="480" w:lineRule="auto"/>
        <w:rPr>
          <w:rFonts w:ascii="Times New Roman" w:eastAsia="Times New Roman" w:hAnsi="Times New Roman" w:cs="Times New Roman"/>
          <w:b/>
        </w:rPr>
      </w:pPr>
      <w:r>
        <w:br w:type="page"/>
      </w:r>
    </w:p>
    <w:p w14:paraId="4322AA30"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Figure S3. Climate risk (extreme heat events) (yellow = low, blue= high)</w:t>
      </w:r>
    </w:p>
    <w:p w14:paraId="23E7D1ED"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4384" behindDoc="0" locked="0" layoutInCell="1" hidden="0" allowOverlap="1" wp14:anchorId="46C194E9" wp14:editId="0B7A88F0">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8618220" cy="4787900"/>
                    </a:xfrm>
                    <a:prstGeom prst="rect">
                      <a:avLst/>
                    </a:prstGeom>
                    <a:ln/>
                  </pic:spPr>
                </pic:pic>
              </a:graphicData>
            </a:graphic>
          </wp:anchor>
        </w:drawing>
      </w:r>
    </w:p>
    <w:p w14:paraId="0F6D2673" w14:textId="77777777" w:rsidR="00355FC1" w:rsidRDefault="00BE17DB">
      <w:pPr>
        <w:spacing w:line="480" w:lineRule="auto"/>
        <w:rPr>
          <w:rFonts w:ascii="Times New Roman" w:eastAsia="Times New Roman" w:hAnsi="Times New Roman" w:cs="Times New Roman"/>
          <w:b/>
        </w:rPr>
      </w:pPr>
      <w:r>
        <w:br w:type="page"/>
      </w:r>
    </w:p>
    <w:p w14:paraId="6968C9D7" w14:textId="77777777" w:rsidR="00355FC1" w:rsidRDefault="00BE17DB">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Figure S4: Scenario overlap. green = protected areas. Color gradient f</w:t>
      </w:r>
      <w:r>
        <w:rPr>
          <w:rFonts w:ascii="Times New Roman" w:eastAsia="Times New Roman" w:hAnsi="Times New Roman" w:cs="Times New Roman"/>
          <w:b/>
          <w:color w:val="000000"/>
        </w:rPr>
        <w:t xml:space="preserve">rom yellow (one scenario) to </w:t>
      </w:r>
      <w:proofErr w:type="gramStart"/>
      <w:r>
        <w:rPr>
          <w:rFonts w:ascii="Times New Roman" w:eastAsia="Times New Roman" w:hAnsi="Times New Roman" w:cs="Times New Roman"/>
          <w:b/>
          <w:color w:val="000000"/>
        </w:rPr>
        <w:t>red  (</w:t>
      </w:r>
      <w:proofErr w:type="gramEnd"/>
      <w:r>
        <w:rPr>
          <w:rFonts w:ascii="Times New Roman" w:eastAsia="Times New Roman" w:hAnsi="Times New Roman" w:cs="Times New Roman"/>
          <w:b/>
          <w:color w:val="000000"/>
        </w:rPr>
        <w:t>15 scenarios) = ovelap.</w:t>
      </w:r>
    </w:p>
    <w:p w14:paraId="7414228E"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E40DF1" wp14:editId="25F7BD94">
            <wp:extent cx="8349615" cy="464248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8349615" cy="4642485"/>
                    </a:xfrm>
                    <a:prstGeom prst="rect">
                      <a:avLst/>
                    </a:prstGeom>
                    <a:ln/>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BE17DB">
      <w:pPr>
        <w:spacing w:line="480" w:lineRule="auto"/>
        <w:rPr>
          <w:rFonts w:ascii="Times New Roman" w:eastAsia="Times New Roman" w:hAnsi="Times New Roman" w:cs="Times New Roman"/>
          <w:b/>
        </w:rPr>
      </w:pPr>
      <w:r>
        <w:rPr>
          <w:rFonts w:ascii="Times New Roman" w:eastAsia="Times New Roman" w:hAnsi="Times New Roman" w:cs="Times New Roman"/>
          <w:b/>
        </w:rPr>
        <w:t>Figure S5. Areas of high scenario overlap (&gt;10 scenarios, green) compared to Meyers et al. biodiversity hotspots (blue).</w:t>
      </w:r>
    </w:p>
    <w:p w14:paraId="7881BDBE" w14:textId="77777777" w:rsidR="00355FC1" w:rsidRDefault="00BE17DB">
      <w:pPr>
        <w:spacing w:line="480" w:lineRule="auto"/>
        <w:rPr>
          <w:rFonts w:ascii="Times New Roman" w:eastAsia="Times New Roman" w:hAnsi="Times New Roman" w:cs="Times New Roman"/>
        </w:rPr>
      </w:pPr>
      <w:r>
        <w:rPr>
          <w:noProof/>
        </w:rPr>
        <w:drawing>
          <wp:anchor distT="0" distB="0" distL="0" distR="0" simplePos="0" relativeHeight="251665408" behindDoc="0" locked="0" layoutInCell="1" hidden="0" allowOverlap="1" wp14:anchorId="2C30A751" wp14:editId="618F8C04">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8618220" cy="4787900"/>
                    </a:xfrm>
                    <a:prstGeom prst="rect">
                      <a:avLst/>
                    </a:prstGeom>
                    <a:ln/>
                  </pic:spPr>
                </pic:pic>
              </a:graphicData>
            </a:graphic>
          </wp:anchor>
        </w:drawing>
      </w:r>
    </w:p>
    <w:p w14:paraId="24591557" w14:textId="77777777" w:rsidR="00355FC1" w:rsidRDefault="00BE17DB">
      <w:pPr>
        <w:spacing w:line="480" w:lineRule="auto"/>
        <w:rPr>
          <w:rFonts w:ascii="Times New Roman" w:eastAsia="Times New Roman" w:hAnsi="Times New Roman" w:cs="Times New Roman"/>
          <w:b/>
        </w:rPr>
      </w:pPr>
      <w:r>
        <w:br w:type="page"/>
      </w:r>
    </w:p>
    <w:p w14:paraId="08947311"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b/>
        </w:rPr>
        <w:t>Figure S6: Influence of average country specific risk factors on the optimization outcomes compared between null scenario and the s</w:t>
      </w:r>
      <w:r>
        <w:rPr>
          <w:rFonts w:ascii="Times New Roman" w:eastAsia="Times New Roman" w:hAnsi="Times New Roman" w:cs="Times New Roman"/>
          <w:b/>
        </w:rPr>
        <w:t>cenarios including one of the risk factors. Each data point represents the results for one country. The fitted blue lines and 95% confidence bands are from ordinary least-squares regression.</w:t>
      </w:r>
    </w:p>
    <w:p w14:paraId="420EF917" w14:textId="77777777" w:rsidR="00355FC1" w:rsidRDefault="00BE17DB">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FB5B21" wp14:editId="77E3ED7B">
            <wp:extent cx="8479790" cy="33915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8479790" cy="3391535"/>
                    </a:xfrm>
                    <a:prstGeom prst="rect">
                      <a:avLst/>
                    </a:prstGeom>
                    <a:ln/>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47604"/>
    <w:rsid w:val="000A4DB4"/>
    <w:rsid w:val="000E2543"/>
    <w:rsid w:val="0020169E"/>
    <w:rsid w:val="002403C5"/>
    <w:rsid w:val="0027208B"/>
    <w:rsid w:val="002A43E2"/>
    <w:rsid w:val="002B1DDF"/>
    <w:rsid w:val="002C709C"/>
    <w:rsid w:val="002E6F31"/>
    <w:rsid w:val="00306AB2"/>
    <w:rsid w:val="00355FC1"/>
    <w:rsid w:val="00363249"/>
    <w:rsid w:val="00375129"/>
    <w:rsid w:val="003B0D03"/>
    <w:rsid w:val="00407F46"/>
    <w:rsid w:val="00427228"/>
    <w:rsid w:val="00456973"/>
    <w:rsid w:val="00485FCA"/>
    <w:rsid w:val="004D3537"/>
    <w:rsid w:val="00527A63"/>
    <w:rsid w:val="00566B7E"/>
    <w:rsid w:val="00577929"/>
    <w:rsid w:val="00592ABC"/>
    <w:rsid w:val="005B74A9"/>
    <w:rsid w:val="005F4730"/>
    <w:rsid w:val="0062225F"/>
    <w:rsid w:val="00624D59"/>
    <w:rsid w:val="00691194"/>
    <w:rsid w:val="006C5330"/>
    <w:rsid w:val="00707E09"/>
    <w:rsid w:val="0078434D"/>
    <w:rsid w:val="007A211C"/>
    <w:rsid w:val="007A76BB"/>
    <w:rsid w:val="007B52B7"/>
    <w:rsid w:val="007C57DA"/>
    <w:rsid w:val="007F53B7"/>
    <w:rsid w:val="00892F56"/>
    <w:rsid w:val="008A18EE"/>
    <w:rsid w:val="009350D9"/>
    <w:rsid w:val="0093658F"/>
    <w:rsid w:val="009801BE"/>
    <w:rsid w:val="009A038B"/>
    <w:rsid w:val="009B3780"/>
    <w:rsid w:val="009C6E13"/>
    <w:rsid w:val="009E53B7"/>
    <w:rsid w:val="00A06674"/>
    <w:rsid w:val="00A372A5"/>
    <w:rsid w:val="00AC43AF"/>
    <w:rsid w:val="00AC5FD9"/>
    <w:rsid w:val="00AF7756"/>
    <w:rsid w:val="00B13A62"/>
    <w:rsid w:val="00B33711"/>
    <w:rsid w:val="00B90EB0"/>
    <w:rsid w:val="00B979D6"/>
    <w:rsid w:val="00BD2532"/>
    <w:rsid w:val="00BD3054"/>
    <w:rsid w:val="00BD481B"/>
    <w:rsid w:val="00BD5909"/>
    <w:rsid w:val="00BE17DB"/>
    <w:rsid w:val="00C023EE"/>
    <w:rsid w:val="00C0689B"/>
    <w:rsid w:val="00C32F19"/>
    <w:rsid w:val="00C564B4"/>
    <w:rsid w:val="00C661C3"/>
    <w:rsid w:val="00C85176"/>
    <w:rsid w:val="00D01E10"/>
    <w:rsid w:val="00D24244"/>
    <w:rsid w:val="00D77A2F"/>
    <w:rsid w:val="00D902F1"/>
    <w:rsid w:val="00DE10E0"/>
    <w:rsid w:val="00DE22F8"/>
    <w:rsid w:val="00E34E27"/>
    <w:rsid w:val="00E47CA6"/>
    <w:rsid w:val="00E71605"/>
    <w:rsid w:val="00E9280A"/>
    <w:rsid w:val="00E9588C"/>
    <w:rsid w:val="00EA1E9B"/>
    <w:rsid w:val="00F61B8D"/>
    <w:rsid w:val="00F80186"/>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png"/><Relationship Id="rId18" Type="http://schemas.openxmlformats.org/officeDocument/2006/relationships/hyperlink" Target="https://datacatalog.worldbank.org/dataset/worldwide-governance-indicators"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image" Target="media/image3.png"/><Relationship Id="rId12" Type="http://schemas.openxmlformats.org/officeDocument/2006/relationships/hyperlink" Target="https://www.protectedplanet.net/" TargetMode="External"/><Relationship Id="rId17" Type="http://schemas.openxmlformats.org/officeDocument/2006/relationships/hyperlink" Target="https://drive.google.com/file/d/1g_LePBfCbphXzTiCOXCzQtNLSSYoV6me/view?usp=sharing"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rive.google.com/file/d/1eD4y4K8XG4nxnRL5fNtiTqzuqfIJ_DfB/view?usp=sharing" TargetMode="External"/><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gadm.org/" TargetMode="External"/><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hyperlink" Target="https://osf.io/e2fuw/?view_only=46eb2e525daf42d29df318a92762d885" TargetMode="External"/><Relationship Id="rId23" Type="http://schemas.openxmlformats.org/officeDocument/2006/relationships/image" Target="media/image11.png"/><Relationship Id="rId10" Type="http://schemas.openxmlformats.org/officeDocument/2006/relationships/hyperlink" Target="http://www.birdlife.org/datazone/home" TargetMode="External"/><Relationship Id="rId19" Type="http://schemas.openxmlformats.org/officeDocument/2006/relationships/image" Target="media/image7.png"/><Relationship Id="rId4" Type="http://schemas.openxmlformats.org/officeDocument/2006/relationships/hyperlink" Target="mailto:richard.schuster@glel.carleton.ca" TargetMode="External"/><Relationship Id="rId9" Type="http://schemas.openxmlformats.org/officeDocument/2006/relationships/hyperlink" Target="http://www.iucnredlist.org/" TargetMode="External"/><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38</Pages>
  <Words>30345</Words>
  <Characters>172972</Characters>
  <Application>Microsoft Office Word</Application>
  <DocSecurity>0</DocSecurity>
  <Lines>1441</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richard</cp:lastModifiedBy>
  <cp:revision>82</cp:revision>
  <dcterms:created xsi:type="dcterms:W3CDTF">2021-01-18T18:02:00Z</dcterms:created>
  <dcterms:modified xsi:type="dcterms:W3CDTF">2021-01-18T19:44:00Z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